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92" w:rsidRDefault="00CD36F4">
      <w:pPr>
        <w:pStyle w:val="Textbody"/>
        <w:spacing w:line="460" w:lineRule="exact"/>
        <w:jc w:val="center"/>
        <w:rPr>
          <w:rFonts w:ascii="標楷體" w:eastAsia="標楷體" w:hAnsi="標楷體"/>
          <w:sz w:val="36"/>
          <w:szCs w:val="36"/>
        </w:rPr>
      </w:pPr>
      <w:bookmarkStart w:id="0" w:name="_GoBack"/>
      <w:r>
        <w:rPr>
          <w:rFonts w:ascii="標楷體" w:eastAsia="標楷體" w:hAnsi="標楷體"/>
          <w:sz w:val="36"/>
          <w:szCs w:val="36"/>
        </w:rPr>
        <w:t>運動賽事或活動票</w:t>
      </w:r>
      <w:proofErr w:type="gramStart"/>
      <w:r>
        <w:rPr>
          <w:rFonts w:ascii="標楷體" w:eastAsia="標楷體" w:hAnsi="標楷體"/>
          <w:sz w:val="36"/>
          <w:szCs w:val="36"/>
        </w:rPr>
        <w:t>券</w:t>
      </w:r>
      <w:proofErr w:type="gramEnd"/>
      <w:r>
        <w:rPr>
          <w:rFonts w:ascii="標楷體" w:eastAsia="標楷體" w:hAnsi="標楷體"/>
          <w:sz w:val="36"/>
          <w:szCs w:val="36"/>
        </w:rPr>
        <w:t>違規案件檢舉處理及獎勵辦法</w:t>
      </w:r>
      <w:bookmarkEnd w:id="0"/>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第一條</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本辦法依運動產業發展條例（以下簡稱本條例）第二十四條之一第六項規定訂定之。</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第二條</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違反本條例第二十四條之一第二項及第三項規定案件，由運動賽事或活動舉辦地之直轄市、縣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主管機關管轄。</w:t>
      </w:r>
    </w:p>
    <w:p w:rsidR="00C25192" w:rsidRDefault="00CD36F4">
      <w:pPr>
        <w:pStyle w:val="Textbody"/>
        <w:spacing w:line="460" w:lineRule="exact"/>
        <w:ind w:left="847" w:firstLine="568"/>
        <w:jc w:val="both"/>
        <w:rPr>
          <w:rFonts w:ascii="標楷體" w:eastAsia="標楷體" w:hAnsi="標楷體"/>
          <w:sz w:val="28"/>
          <w:szCs w:val="28"/>
        </w:rPr>
      </w:pPr>
      <w:r>
        <w:rPr>
          <w:rFonts w:ascii="標楷體" w:eastAsia="標楷體" w:hAnsi="標楷體"/>
          <w:sz w:val="28"/>
          <w:szCs w:val="28"/>
        </w:rPr>
        <w:t>運動賽事或活動舉辦地有多處時，由舉辦日期在先之直轄市、縣</w:t>
      </w:r>
      <w:r>
        <w:rPr>
          <w:rFonts w:ascii="標楷體" w:eastAsia="標楷體" w:hAnsi="標楷體"/>
          <w:sz w:val="28"/>
          <w:szCs w:val="28"/>
        </w:rPr>
        <w:t xml:space="preserve"> (</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主管機關管轄。</w:t>
      </w:r>
    </w:p>
    <w:p w:rsidR="00C25192" w:rsidRDefault="00CD36F4">
      <w:pPr>
        <w:pStyle w:val="Textbody"/>
        <w:spacing w:line="460" w:lineRule="exact"/>
        <w:ind w:left="847" w:firstLine="568"/>
        <w:jc w:val="both"/>
        <w:rPr>
          <w:rFonts w:ascii="標楷體" w:eastAsia="標楷體" w:hAnsi="標楷體"/>
          <w:sz w:val="28"/>
          <w:szCs w:val="28"/>
        </w:rPr>
      </w:pPr>
      <w:r>
        <w:rPr>
          <w:rFonts w:ascii="標楷體" w:eastAsia="標楷體" w:hAnsi="標楷體"/>
          <w:sz w:val="28"/>
          <w:szCs w:val="28"/>
        </w:rPr>
        <w:t>無法依前二項規定</w:t>
      </w:r>
      <w:proofErr w:type="gramStart"/>
      <w:r>
        <w:rPr>
          <w:rFonts w:ascii="標楷體" w:eastAsia="標楷體" w:hAnsi="標楷體"/>
          <w:sz w:val="28"/>
          <w:szCs w:val="28"/>
        </w:rPr>
        <w:t>定</w:t>
      </w:r>
      <w:proofErr w:type="gramEnd"/>
      <w:r>
        <w:rPr>
          <w:rFonts w:ascii="標楷體" w:eastAsia="標楷體" w:hAnsi="標楷體"/>
          <w:sz w:val="28"/>
          <w:szCs w:val="28"/>
        </w:rPr>
        <w:t>其管轄權或有統一管轄之必要者，由中央主管機關指定之。</w:t>
      </w:r>
    </w:p>
    <w:p w:rsidR="00C25192" w:rsidRDefault="00CD36F4">
      <w:pPr>
        <w:pStyle w:val="Textbody"/>
        <w:spacing w:line="460" w:lineRule="exact"/>
        <w:ind w:left="847" w:firstLine="568"/>
        <w:jc w:val="both"/>
        <w:rPr>
          <w:rFonts w:ascii="標楷體" w:eastAsia="標楷體" w:hAnsi="標楷體"/>
          <w:sz w:val="28"/>
          <w:szCs w:val="28"/>
        </w:rPr>
      </w:pPr>
      <w:r>
        <w:rPr>
          <w:rFonts w:ascii="標楷體" w:eastAsia="標楷體" w:hAnsi="標楷體"/>
          <w:sz w:val="28"/>
          <w:szCs w:val="28"/>
        </w:rPr>
        <w:t>受理檢舉機關對檢舉事項無管轄權者，應於確認管轄機關後七日內移送該機關，並通知檢舉人。</w:t>
      </w:r>
    </w:p>
    <w:p w:rsidR="00C25192" w:rsidRDefault="00CD36F4">
      <w:pPr>
        <w:pStyle w:val="Textbody"/>
        <w:spacing w:line="460" w:lineRule="exact"/>
        <w:ind w:left="848" w:hanging="848"/>
        <w:rPr>
          <w:rFonts w:ascii="標楷體" w:eastAsia="標楷體" w:hAnsi="標楷體"/>
          <w:sz w:val="28"/>
          <w:szCs w:val="28"/>
        </w:rPr>
      </w:pPr>
      <w:r>
        <w:rPr>
          <w:rFonts w:ascii="標楷體" w:eastAsia="標楷體" w:hAnsi="標楷體"/>
          <w:sz w:val="28"/>
          <w:szCs w:val="28"/>
        </w:rPr>
        <w:t>第三條</w:t>
      </w:r>
      <w:r>
        <w:rPr>
          <w:rFonts w:ascii="標楷體" w:eastAsia="標楷體" w:hAnsi="標楷體"/>
          <w:sz w:val="28"/>
          <w:szCs w:val="28"/>
        </w:rPr>
        <w:tab/>
      </w:r>
      <w:r>
        <w:rPr>
          <w:rFonts w:ascii="標楷體" w:eastAsia="標楷體" w:hAnsi="標楷體"/>
          <w:sz w:val="28"/>
          <w:szCs w:val="28"/>
        </w:rPr>
        <w:t xml:space="preserve">　　檢舉人提出檢舉時，得以書面、言詞、電子郵件或其他方式為之；以言詞檢舉者，應配合直轄市、縣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主管機關作成檢舉紀錄，並由檢舉人確認其檢舉內容。</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第四條　　檢舉本條例第二十四條之一第二項規定案件，應敘明下列事項：</w:t>
      </w:r>
    </w:p>
    <w:p w:rsidR="00C25192" w:rsidRDefault="00CD36F4">
      <w:pPr>
        <w:pStyle w:val="Textbody"/>
        <w:spacing w:line="460" w:lineRule="exact"/>
        <w:ind w:left="1984" w:hanging="566"/>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sz w:val="28"/>
          <w:szCs w:val="28"/>
        </w:rPr>
        <w:t>檢舉人姓名、地址及聯絡方式。</w:t>
      </w:r>
    </w:p>
    <w:p w:rsidR="00C25192" w:rsidRDefault="00CD36F4">
      <w:pPr>
        <w:pStyle w:val="Textbody"/>
        <w:spacing w:line="460" w:lineRule="exact"/>
        <w:ind w:left="1984" w:hanging="566"/>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疑似違規販售之網站、電商平</w:t>
      </w:r>
      <w:proofErr w:type="gramStart"/>
      <w:r>
        <w:rPr>
          <w:rFonts w:ascii="標楷體" w:eastAsia="標楷體" w:hAnsi="標楷體"/>
          <w:sz w:val="28"/>
          <w:szCs w:val="28"/>
        </w:rPr>
        <w:t>臺</w:t>
      </w:r>
      <w:proofErr w:type="gramEnd"/>
      <w:r>
        <w:rPr>
          <w:rFonts w:ascii="標楷體" w:eastAsia="標楷體" w:hAnsi="標楷體"/>
          <w:sz w:val="28"/>
          <w:szCs w:val="28"/>
        </w:rPr>
        <w:t>、社群網站、通訊軟體之社團名稱或實體地點，及其相關佐證資料。</w:t>
      </w:r>
    </w:p>
    <w:p w:rsidR="00C25192" w:rsidRDefault="00CD36F4">
      <w:pPr>
        <w:pStyle w:val="Textbody"/>
        <w:spacing w:line="460" w:lineRule="exact"/>
        <w:ind w:left="1984" w:hanging="566"/>
        <w:jc w:val="both"/>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ab/>
      </w:r>
      <w:r>
        <w:rPr>
          <w:rFonts w:ascii="標楷體" w:eastAsia="標楷體" w:hAnsi="標楷體"/>
          <w:sz w:val="28"/>
          <w:szCs w:val="28"/>
        </w:rPr>
        <w:t>運動賽事或活動名稱、舉辦時間、舉辦場館、位置區域名稱、座位號碼（入場序號、票</w:t>
      </w:r>
      <w:proofErr w:type="gramStart"/>
      <w:r>
        <w:rPr>
          <w:rFonts w:ascii="標楷體" w:eastAsia="標楷體" w:hAnsi="標楷體"/>
          <w:sz w:val="28"/>
          <w:szCs w:val="28"/>
        </w:rPr>
        <w:t>券</w:t>
      </w:r>
      <w:proofErr w:type="gramEnd"/>
      <w:r>
        <w:rPr>
          <w:rFonts w:ascii="標楷體" w:eastAsia="標楷體" w:hAnsi="標楷體"/>
          <w:sz w:val="28"/>
          <w:szCs w:val="28"/>
        </w:rPr>
        <w:t>編號或票券流水號）、票面金額、被檢舉人販售價格，或其他足資識別票券之相關資訊。</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第五條　　檢舉本條例第二十四條之一第三項規定案件，應敘明下列事項：</w:t>
      </w:r>
    </w:p>
    <w:p w:rsidR="00C25192" w:rsidRDefault="00CD36F4">
      <w:pPr>
        <w:pStyle w:val="Textbody"/>
        <w:spacing w:line="460" w:lineRule="exact"/>
        <w:ind w:left="1984" w:hanging="568"/>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sz w:val="28"/>
          <w:szCs w:val="28"/>
        </w:rPr>
        <w:t>檢舉人姓名、地址及聯絡方式。</w:t>
      </w:r>
    </w:p>
    <w:p w:rsidR="00C25192" w:rsidRDefault="00CD36F4">
      <w:pPr>
        <w:pStyle w:val="Textbody"/>
        <w:spacing w:line="460" w:lineRule="exact"/>
        <w:ind w:left="1984" w:hanging="568"/>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運動賽事或活動名稱、舉辦時間、舉辦場館。</w:t>
      </w:r>
    </w:p>
    <w:p w:rsidR="00C25192" w:rsidRDefault="00CD36F4">
      <w:pPr>
        <w:pStyle w:val="Textbody"/>
        <w:spacing w:line="460" w:lineRule="exact"/>
        <w:ind w:left="1984" w:hanging="568"/>
        <w:jc w:val="both"/>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ab/>
      </w:r>
      <w:r>
        <w:rPr>
          <w:rFonts w:ascii="標楷體" w:eastAsia="標楷體" w:hAnsi="標楷體"/>
          <w:sz w:val="28"/>
          <w:szCs w:val="28"/>
        </w:rPr>
        <w:t>售票之公司或商號名稱。</w:t>
      </w:r>
    </w:p>
    <w:p w:rsidR="00C25192" w:rsidRDefault="00CD36F4">
      <w:pPr>
        <w:pStyle w:val="Textbody"/>
        <w:spacing w:line="460" w:lineRule="exact"/>
        <w:ind w:left="1984" w:hanging="568"/>
        <w:jc w:val="both"/>
        <w:rPr>
          <w:rFonts w:ascii="標楷體" w:eastAsia="標楷體" w:hAnsi="標楷體"/>
          <w:sz w:val="28"/>
          <w:szCs w:val="28"/>
        </w:rPr>
      </w:pPr>
      <w:r>
        <w:rPr>
          <w:rFonts w:ascii="標楷體" w:eastAsia="標楷體" w:hAnsi="標楷體"/>
          <w:sz w:val="28"/>
          <w:szCs w:val="28"/>
        </w:rPr>
        <w:t>四、</w:t>
      </w:r>
      <w:r>
        <w:rPr>
          <w:rFonts w:ascii="標楷體" w:eastAsia="標楷體" w:hAnsi="標楷體"/>
          <w:sz w:val="28"/>
          <w:szCs w:val="28"/>
        </w:rPr>
        <w:tab/>
      </w:r>
      <w:r>
        <w:rPr>
          <w:rFonts w:ascii="標楷體" w:eastAsia="標楷體" w:hAnsi="標楷體"/>
          <w:sz w:val="28"/>
          <w:szCs w:val="28"/>
        </w:rPr>
        <w:t>售票系統疑似遭行為人以虛偽資料或其他不正方式購買運動賽事或活動票</w:t>
      </w:r>
      <w:proofErr w:type="gramStart"/>
      <w:r>
        <w:rPr>
          <w:rFonts w:ascii="標楷體" w:eastAsia="標楷體" w:hAnsi="標楷體"/>
          <w:sz w:val="28"/>
          <w:szCs w:val="28"/>
        </w:rPr>
        <w:t>券</w:t>
      </w:r>
      <w:proofErr w:type="gramEnd"/>
      <w:r>
        <w:rPr>
          <w:rFonts w:ascii="標楷體" w:eastAsia="標楷體" w:hAnsi="標楷體"/>
          <w:sz w:val="28"/>
          <w:szCs w:val="28"/>
        </w:rPr>
        <w:t>之操作歷程紀錄（</w:t>
      </w:r>
      <w:r>
        <w:rPr>
          <w:rFonts w:ascii="標楷體" w:eastAsia="標楷體" w:hAnsi="標楷體"/>
          <w:sz w:val="28"/>
          <w:szCs w:val="28"/>
        </w:rPr>
        <w:t>LOG</w:t>
      </w:r>
      <w:r>
        <w:rPr>
          <w:rFonts w:ascii="標楷體" w:eastAsia="標楷體" w:hAnsi="標楷體"/>
          <w:sz w:val="28"/>
          <w:szCs w:val="28"/>
        </w:rPr>
        <w:t>）或相關事</w:t>
      </w:r>
      <w:r>
        <w:rPr>
          <w:rFonts w:ascii="標楷體" w:eastAsia="標楷體" w:hAnsi="標楷體"/>
          <w:sz w:val="28"/>
          <w:szCs w:val="28"/>
        </w:rPr>
        <w:lastRenderedPageBreak/>
        <w:t>證。</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第六條　　檢舉案件不符合前二條規定，依其性質能補正者，得通知檢舉人限期補正；不能補正或屆期補正未完全者，不予受理。</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第七條　　檢舉人不以真實姓名檢舉，或未提供足資證明身分之文件，經直轄市、縣（市）主管機關通知限期補正，屆期未補正者，不予核發獎金。</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第八條　　直轄市、縣（市）主管機關受理檢舉案件後，應於檢舉人提供之資料齊備之日起二個月內，完成調查。但因案情特殊而有延長調查之必要者，不在此限。</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第九條　　檢舉案件經調查屬實者，由直轄市、縣</w:t>
      </w:r>
      <w:r>
        <w:rPr>
          <w:rFonts w:ascii="標楷體" w:eastAsia="標楷體" w:hAnsi="標楷體"/>
          <w:sz w:val="28"/>
          <w:szCs w:val="28"/>
        </w:rPr>
        <w:t xml:space="preserve"> (</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主管機關依本辦法核發檢舉人獎金。但有下列情形之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者，不核發獎金：</w:t>
      </w:r>
    </w:p>
    <w:p w:rsidR="00C25192" w:rsidRDefault="00CD36F4">
      <w:pPr>
        <w:pStyle w:val="Textbody"/>
        <w:spacing w:line="460" w:lineRule="exact"/>
        <w:ind w:left="1982" w:hanging="566"/>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sz w:val="28"/>
          <w:szCs w:val="28"/>
        </w:rPr>
        <w:t>檢舉前已於網路、報章雜誌、廣播電視、其他媒體或公共場所公開，或已由直轄市、縣（市）主管機關或其他相關機關調查、處理。</w:t>
      </w:r>
    </w:p>
    <w:p w:rsidR="00C25192" w:rsidRDefault="00CD36F4">
      <w:pPr>
        <w:pStyle w:val="Textbody"/>
        <w:spacing w:line="460" w:lineRule="exact"/>
        <w:ind w:left="1982" w:hanging="566"/>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公務員依法執行職務時發現。</w:t>
      </w:r>
    </w:p>
    <w:p w:rsidR="00C25192" w:rsidRDefault="00CD36F4">
      <w:pPr>
        <w:pStyle w:val="Textbody"/>
        <w:spacing w:line="460" w:lineRule="exact"/>
        <w:ind w:left="848" w:hanging="848"/>
        <w:jc w:val="both"/>
        <w:rPr>
          <w:rFonts w:ascii="標楷體" w:eastAsia="標楷體" w:hAnsi="標楷體"/>
          <w:sz w:val="28"/>
          <w:szCs w:val="28"/>
        </w:rPr>
      </w:pPr>
      <w:r>
        <w:rPr>
          <w:rFonts w:ascii="標楷體" w:eastAsia="標楷體" w:hAnsi="標楷體"/>
          <w:sz w:val="28"/>
          <w:szCs w:val="28"/>
        </w:rPr>
        <w:t>第十條　　檢舉獎金之核發基準如下：</w:t>
      </w:r>
    </w:p>
    <w:p w:rsidR="00C25192" w:rsidRDefault="00CD36F4">
      <w:pPr>
        <w:pStyle w:val="Textbody"/>
        <w:spacing w:line="460" w:lineRule="exact"/>
        <w:ind w:left="1982" w:hanging="566"/>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sz w:val="28"/>
          <w:szCs w:val="28"/>
        </w:rPr>
        <w:t>本條例第二十四條之一第二項規定案件：按裁處罰鍰百分之二十核發獎金，最高以新臺幣十萬元為限。</w:t>
      </w:r>
    </w:p>
    <w:p w:rsidR="00C25192" w:rsidRDefault="00CD36F4">
      <w:pPr>
        <w:pStyle w:val="Textbody"/>
        <w:spacing w:line="460" w:lineRule="exact"/>
        <w:ind w:left="1982" w:hanging="566"/>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本條例第二十四條之一第三項規定案件：新臺幣十萬元。</w:t>
      </w:r>
    </w:p>
    <w:p w:rsidR="00C25192" w:rsidRDefault="00CD36F4">
      <w:pPr>
        <w:pStyle w:val="Textbody"/>
        <w:spacing w:line="460" w:lineRule="exact"/>
        <w:ind w:left="847" w:firstLine="568"/>
        <w:jc w:val="both"/>
        <w:rPr>
          <w:rFonts w:ascii="標楷體" w:eastAsia="標楷體" w:hAnsi="標楷體"/>
          <w:sz w:val="28"/>
          <w:szCs w:val="28"/>
        </w:rPr>
      </w:pPr>
      <w:r>
        <w:rPr>
          <w:rFonts w:ascii="標楷體" w:eastAsia="標楷體" w:hAnsi="標楷體"/>
          <w:sz w:val="28"/>
          <w:szCs w:val="28"/>
        </w:rPr>
        <w:t>前項獎金，於該檢舉案件之行政罰鍰處分書送達後或刑事案件移送檢察機關後，由直轄市、縣（市）主管機關核定，並通知檢舉人具領。</w:t>
      </w:r>
    </w:p>
    <w:p w:rsidR="00C25192" w:rsidRDefault="00CD36F4">
      <w:pPr>
        <w:pStyle w:val="Textbody"/>
        <w:spacing w:line="460" w:lineRule="exact"/>
        <w:ind w:left="1134" w:hanging="1134"/>
        <w:jc w:val="both"/>
        <w:rPr>
          <w:rFonts w:ascii="標楷體" w:eastAsia="標楷體" w:hAnsi="標楷體"/>
          <w:sz w:val="28"/>
          <w:szCs w:val="28"/>
        </w:rPr>
      </w:pPr>
      <w:r>
        <w:rPr>
          <w:rFonts w:ascii="標楷體" w:eastAsia="標楷體" w:hAnsi="標楷體"/>
          <w:sz w:val="28"/>
          <w:szCs w:val="28"/>
        </w:rPr>
        <w:t>第十一條　　直轄市、縣</w:t>
      </w:r>
      <w:r>
        <w:rPr>
          <w:rFonts w:ascii="標楷體" w:eastAsia="標楷體" w:hAnsi="標楷體"/>
          <w:sz w:val="28"/>
          <w:szCs w:val="28"/>
        </w:rPr>
        <w:t xml:space="preserve"> (</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w:t>
      </w:r>
      <w:r>
        <w:rPr>
          <w:rFonts w:ascii="標楷體" w:eastAsia="標楷體" w:hAnsi="標楷體"/>
          <w:sz w:val="28"/>
          <w:szCs w:val="28"/>
        </w:rPr>
        <w:t>關認檢舉人有下列情形之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者，應不予核發獎金；已核發者，應撤銷並以書面行政處分追繳之：</w:t>
      </w:r>
      <w:r>
        <w:rPr>
          <w:rFonts w:ascii="標楷體" w:eastAsia="標楷體" w:hAnsi="標楷體"/>
          <w:sz w:val="28"/>
          <w:szCs w:val="28"/>
        </w:rPr>
        <w:t xml:space="preserve">    </w:t>
      </w:r>
      <w:r>
        <w:rPr>
          <w:rFonts w:ascii="標楷體" w:eastAsia="標楷體" w:hAnsi="標楷體"/>
          <w:sz w:val="28"/>
          <w:szCs w:val="28"/>
        </w:rPr>
        <w:t>一、檢舉事項，經法院判決確定係屬誣告。</w:t>
      </w:r>
    </w:p>
    <w:p w:rsidR="00C25192" w:rsidRDefault="00CD36F4">
      <w:pPr>
        <w:pStyle w:val="Textbody"/>
        <w:spacing w:line="460" w:lineRule="exact"/>
        <w:ind w:left="2265" w:hanging="563"/>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使用偽造或變造證據提出檢舉，經法院判決有罪確定。</w:t>
      </w:r>
    </w:p>
    <w:p w:rsidR="00C25192" w:rsidRDefault="00CD36F4">
      <w:pPr>
        <w:pStyle w:val="Textbody"/>
        <w:spacing w:line="460" w:lineRule="exact"/>
        <w:ind w:left="2265" w:hanging="563"/>
        <w:jc w:val="both"/>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ab/>
      </w:r>
      <w:r>
        <w:rPr>
          <w:rFonts w:ascii="標楷體" w:eastAsia="標楷體" w:hAnsi="標楷體"/>
          <w:sz w:val="28"/>
          <w:szCs w:val="28"/>
        </w:rPr>
        <w:t>檢舉人共同從事所檢舉之不法行為。</w:t>
      </w:r>
    </w:p>
    <w:p w:rsidR="00C25192" w:rsidRDefault="00CD36F4">
      <w:pPr>
        <w:pStyle w:val="Textbody"/>
        <w:spacing w:line="460" w:lineRule="exact"/>
        <w:ind w:left="2265" w:hanging="563"/>
        <w:jc w:val="both"/>
        <w:rPr>
          <w:rFonts w:ascii="標楷體" w:eastAsia="標楷體" w:hAnsi="標楷體"/>
          <w:sz w:val="28"/>
          <w:szCs w:val="28"/>
        </w:rPr>
      </w:pPr>
      <w:r>
        <w:rPr>
          <w:rFonts w:ascii="標楷體" w:eastAsia="標楷體" w:hAnsi="標楷體"/>
          <w:sz w:val="28"/>
          <w:szCs w:val="28"/>
        </w:rPr>
        <w:t>四、</w:t>
      </w:r>
      <w:r>
        <w:rPr>
          <w:rFonts w:ascii="標楷體" w:eastAsia="標楷體" w:hAnsi="標楷體"/>
          <w:sz w:val="28"/>
          <w:szCs w:val="28"/>
        </w:rPr>
        <w:tab/>
      </w:r>
      <w:r>
        <w:rPr>
          <w:rFonts w:ascii="標楷體" w:eastAsia="標楷體" w:hAnsi="標楷體"/>
          <w:sz w:val="28"/>
          <w:szCs w:val="28"/>
        </w:rPr>
        <w:t>檢舉案件屬第九條但書所列情形。</w:t>
      </w:r>
    </w:p>
    <w:p w:rsidR="00C25192" w:rsidRDefault="00CD36F4">
      <w:pPr>
        <w:pStyle w:val="Textbody"/>
        <w:spacing w:line="460" w:lineRule="exact"/>
        <w:ind w:left="2265" w:hanging="563"/>
        <w:jc w:val="both"/>
        <w:rPr>
          <w:rFonts w:ascii="標楷體" w:eastAsia="標楷體" w:hAnsi="標楷體"/>
          <w:sz w:val="28"/>
          <w:szCs w:val="28"/>
        </w:rPr>
      </w:pPr>
      <w:r>
        <w:rPr>
          <w:rFonts w:ascii="標楷體" w:eastAsia="標楷體" w:hAnsi="標楷體"/>
          <w:sz w:val="28"/>
          <w:szCs w:val="28"/>
        </w:rPr>
        <w:t>五、</w:t>
      </w:r>
      <w:r>
        <w:rPr>
          <w:rFonts w:ascii="標楷體" w:eastAsia="標楷體" w:hAnsi="標楷體"/>
          <w:sz w:val="28"/>
          <w:szCs w:val="28"/>
        </w:rPr>
        <w:tab/>
      </w:r>
      <w:r>
        <w:rPr>
          <w:rFonts w:ascii="標楷體" w:eastAsia="標楷體" w:hAnsi="標楷體"/>
          <w:sz w:val="28"/>
          <w:szCs w:val="28"/>
        </w:rPr>
        <w:t>檢舉不法行為，獲不起訴、無罪判決或行政處分經撤銷、廢止。但非因檢舉不實所致者，得不予追繳。</w:t>
      </w:r>
    </w:p>
    <w:p w:rsidR="00C25192" w:rsidRDefault="00CD36F4">
      <w:pPr>
        <w:pStyle w:val="Textbody"/>
        <w:spacing w:line="460" w:lineRule="exact"/>
        <w:ind w:left="1131" w:hanging="1"/>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前項情形，如檢舉人死亡且經繼承人繼承其遺產者，應向其繼承人追回已核發之獎金。</w:t>
      </w:r>
    </w:p>
    <w:p w:rsidR="00C25192" w:rsidRDefault="00CD36F4">
      <w:pPr>
        <w:pStyle w:val="Textbody"/>
        <w:spacing w:line="460" w:lineRule="exact"/>
        <w:ind w:left="1134" w:hanging="1134"/>
        <w:jc w:val="both"/>
        <w:rPr>
          <w:rFonts w:ascii="標楷體" w:eastAsia="標楷體" w:hAnsi="標楷體"/>
          <w:sz w:val="28"/>
          <w:szCs w:val="28"/>
        </w:rPr>
      </w:pPr>
      <w:r>
        <w:rPr>
          <w:rFonts w:ascii="標楷體" w:eastAsia="標楷體" w:hAnsi="標楷體"/>
          <w:sz w:val="28"/>
          <w:szCs w:val="28"/>
        </w:rPr>
        <w:t>第十二條　　二人以上聯名檢舉之案件，其檢舉獎金應平均發給，並由全體檢舉人具領。</w:t>
      </w:r>
    </w:p>
    <w:p w:rsidR="00C25192" w:rsidRDefault="00CD36F4">
      <w:pPr>
        <w:pStyle w:val="Textbody"/>
        <w:spacing w:line="460" w:lineRule="exact"/>
        <w:ind w:left="113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同一案件由二人以上分別檢舉者，其檢舉獎金應發給最先檢舉者；未能分別先後者，平均發給之。</w:t>
      </w:r>
    </w:p>
    <w:p w:rsidR="00C25192" w:rsidRDefault="00CD36F4">
      <w:pPr>
        <w:pStyle w:val="Textbody"/>
        <w:spacing w:line="460" w:lineRule="exact"/>
        <w:ind w:left="1134" w:hanging="1134"/>
        <w:jc w:val="both"/>
        <w:rPr>
          <w:rFonts w:ascii="標楷體" w:eastAsia="標楷體" w:hAnsi="標楷體"/>
          <w:sz w:val="28"/>
          <w:szCs w:val="28"/>
        </w:rPr>
      </w:pPr>
      <w:r>
        <w:rPr>
          <w:rFonts w:ascii="標楷體" w:eastAsia="標楷體" w:hAnsi="標楷體"/>
          <w:sz w:val="28"/>
          <w:szCs w:val="28"/>
        </w:rPr>
        <w:t>第十三條　　直轄市、縣（市）主管機關對於檢舉人之姓名、年齡、住居所、身分及其他相關足資辨別其特徵之資料，均應予保密。但經檢舉人同意公開者，不在此限。</w:t>
      </w:r>
    </w:p>
    <w:p w:rsidR="00C25192" w:rsidRDefault="00CD36F4">
      <w:pPr>
        <w:pStyle w:val="Textbody"/>
        <w:spacing w:line="460" w:lineRule="exact"/>
        <w:ind w:left="113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對於檢舉人之檢舉書、紀錄或其他資料，應以密件保存，並禁止第三人閱覽或抄錄。</w:t>
      </w:r>
    </w:p>
    <w:p w:rsidR="00C25192" w:rsidRDefault="00CD36F4">
      <w:pPr>
        <w:pStyle w:val="Textbody"/>
        <w:spacing w:line="460" w:lineRule="exact"/>
        <w:ind w:left="1134" w:hanging="1134"/>
        <w:jc w:val="both"/>
        <w:rPr>
          <w:rFonts w:ascii="標楷體" w:eastAsia="標楷體" w:hAnsi="標楷體"/>
          <w:sz w:val="28"/>
          <w:szCs w:val="28"/>
        </w:rPr>
      </w:pPr>
      <w:r>
        <w:rPr>
          <w:rFonts w:ascii="標楷體" w:eastAsia="標楷體" w:hAnsi="標楷體"/>
          <w:sz w:val="28"/>
          <w:szCs w:val="28"/>
        </w:rPr>
        <w:t>第十四條　　直轄市、縣（市）主管機關為調查檢舉案件，必要時，得向售票相關單位請求提供運動賽事或活動票</w:t>
      </w:r>
      <w:proofErr w:type="gramStart"/>
      <w:r>
        <w:rPr>
          <w:rFonts w:ascii="標楷體" w:eastAsia="標楷體" w:hAnsi="標楷體"/>
          <w:sz w:val="28"/>
          <w:szCs w:val="28"/>
        </w:rPr>
        <w:t>券</w:t>
      </w:r>
      <w:proofErr w:type="gramEnd"/>
      <w:r>
        <w:rPr>
          <w:rFonts w:ascii="標楷體" w:eastAsia="標楷體" w:hAnsi="標楷體"/>
          <w:sz w:val="28"/>
          <w:szCs w:val="28"/>
        </w:rPr>
        <w:t>售票資料。</w:t>
      </w:r>
    </w:p>
    <w:p w:rsidR="00C25192" w:rsidRDefault="00CD36F4">
      <w:pPr>
        <w:pStyle w:val="Textbody"/>
        <w:spacing w:line="460" w:lineRule="exact"/>
        <w:ind w:left="1134" w:hanging="1134"/>
        <w:jc w:val="both"/>
        <w:rPr>
          <w:rFonts w:ascii="標楷體" w:eastAsia="標楷體" w:hAnsi="標楷體"/>
          <w:sz w:val="28"/>
          <w:szCs w:val="28"/>
        </w:rPr>
      </w:pPr>
      <w:r>
        <w:rPr>
          <w:rFonts w:ascii="標楷體" w:eastAsia="標楷體" w:hAnsi="標楷體"/>
          <w:sz w:val="28"/>
          <w:szCs w:val="28"/>
        </w:rPr>
        <w:t>第十五條　　本辦法之檢舉獎金，由直轄市、縣（市）主管機關編列年度預算支應。</w:t>
      </w:r>
    </w:p>
    <w:p w:rsidR="00C25192" w:rsidRDefault="00CD36F4">
      <w:pPr>
        <w:pStyle w:val="Textbody"/>
        <w:spacing w:line="460" w:lineRule="exact"/>
        <w:ind w:left="1134" w:hanging="1134"/>
        <w:jc w:val="both"/>
      </w:pPr>
      <w:r>
        <w:rPr>
          <w:rFonts w:ascii="標楷體" w:eastAsia="標楷體" w:hAnsi="標楷體"/>
          <w:sz w:val="28"/>
          <w:szCs w:val="28"/>
        </w:rPr>
        <w:t>第十六條　　本辦法自中華民國一百十三年一月五日施行。</w:t>
      </w:r>
    </w:p>
    <w:sectPr w:rsidR="00C25192">
      <w:pgSz w:w="11906" w:h="16838"/>
      <w:pgMar w:top="1418" w:right="1418" w:bottom="1418" w:left="1701"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6F4" w:rsidRDefault="00CD36F4">
      <w:r>
        <w:separator/>
      </w:r>
    </w:p>
  </w:endnote>
  <w:endnote w:type="continuationSeparator" w:id="0">
    <w:p w:rsidR="00CD36F4" w:rsidRDefault="00C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6F4" w:rsidRDefault="00CD36F4">
      <w:r>
        <w:rPr>
          <w:color w:val="000000"/>
        </w:rPr>
        <w:separator/>
      </w:r>
    </w:p>
  </w:footnote>
  <w:footnote w:type="continuationSeparator" w:id="0">
    <w:p w:rsidR="00CD36F4" w:rsidRDefault="00CD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25192"/>
    <w:rsid w:val="00C25192"/>
    <w:rsid w:val="00CD36F4"/>
    <w:rsid w:val="00E21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AB19A-3138-4662-AA08-9DF50209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1/AppData/Local/Microsoft/Windows/INetCache/Content.Outlook/YJL48TAG/&#12300;&#36939;&#21205;&#36093;&#20107;&#25110;&#27963;&#21205;&#31080;&#21048;&#36949;&#35215;&#26696;&#20214;&#27298;&#33289;&#34389;&#29702;&#21450;&#29518;&#21237;&#36774;&#27861;&#26781;&#25991;&#12301;odt&#2728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Company>NTUT Computer And Network Center</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法制組 劉俊儀</dc:creator>
  <dc:description/>
  <cp:lastModifiedBy>Huaxing</cp:lastModifiedBy>
  <cp:revision>2</cp:revision>
  <cp:lastPrinted>2024-02-22T03:29:00Z</cp:lastPrinted>
  <dcterms:created xsi:type="dcterms:W3CDTF">2024-03-01T08:59:00Z</dcterms:created>
  <dcterms:modified xsi:type="dcterms:W3CDTF">2024-03-01T08:59:00Z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