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8" w:rsidRPr="00D6021B" w:rsidRDefault="006C7738" w:rsidP="00974976">
      <w:pPr>
        <w:widowControl/>
        <w:ind w:leftChars="100" w:left="240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0" w:name="_GoBack"/>
      <w:bookmarkEnd w:id="0"/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103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年</w:t>
      </w:r>
      <w:r w:rsidR="009E36D5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全國語文競賽</w:t>
      </w:r>
      <w:r w:rsidR="001A50A8">
        <w:rPr>
          <w:rFonts w:ascii="Times New Roman" w:eastAsia="標楷體" w:hAnsi="Times New Roman"/>
          <w:color w:val="000000" w:themeColor="text1"/>
          <w:sz w:val="40"/>
          <w:szCs w:val="40"/>
        </w:rPr>
        <w:t>原住民族語朗讀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【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太魯閣語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】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國小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學生組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 xml:space="preserve"> 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編號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0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2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號</w:t>
      </w:r>
    </w:p>
    <w:p w:rsidR="006C7738" w:rsidRPr="001A50A8" w:rsidRDefault="006C7738" w:rsidP="006C7738">
      <w:pPr>
        <w:widowControl/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:rsidR="006C7738" w:rsidRPr="00D6021B" w:rsidRDefault="006C7738" w:rsidP="006C7738">
      <w:pPr>
        <w:widowControl/>
        <w:spacing w:after="100" w:afterAutospacing="1"/>
        <w:ind w:left="1202"/>
        <w:jc w:val="center"/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sectPr w:rsidR="006C7738" w:rsidRPr="00D6021B" w:rsidSect="006C7738"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  <w:proofErr w:type="spellStart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t>Yami</w:t>
      </w:r>
      <w:proofErr w:type="spellEnd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t>tnpusu</w:t>
      </w:r>
      <w:proofErr w:type="spellEnd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t>Taywang</w:t>
      </w:r>
      <w:proofErr w:type="spellEnd"/>
      <w:r w:rsidRPr="00D6021B"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  <w:br/>
      </w:r>
    </w:p>
    <w:p w:rsidR="006C7738" w:rsidRPr="00D6021B" w:rsidRDefault="006C7738" w:rsidP="00311BA9">
      <w:pPr>
        <w:widowControl/>
        <w:spacing w:after="100" w:afterAutospacing="1" w:line="840" w:lineRule="auto"/>
        <w:ind w:left="1202"/>
        <w:jc w:val="both"/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</w:pPr>
      <w:r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 xml:space="preserve">   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Seejiq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tnpusu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Taywang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lala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bi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klgan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.</w:t>
      </w:r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Ita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Truku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hmrinas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mataru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kmxalan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kbkuy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hngkawas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nniqan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hini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da.</w:t>
      </w:r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bi spat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kbkuy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hngkawas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brah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na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siida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pnaah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</w:t>
      </w:r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T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ruwan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pusu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rudan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mnkala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Dgiyaq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Klbiyun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rmiyax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</w:t>
      </w:r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T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puqu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.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Mrana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hiyi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do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mkgarang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kana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Yayung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p</w:t>
      </w:r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P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aru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Yayung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Mglu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Yayung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Towsay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Yayung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Snlingan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. </w:t>
      </w:r>
    </w:p>
    <w:p w:rsidR="006C7738" w:rsidRPr="00D6021B" w:rsidRDefault="006C7738" w:rsidP="00311BA9">
      <w:pPr>
        <w:widowControl/>
        <w:spacing w:after="100" w:afterAutospacing="1" w:line="840" w:lineRule="auto"/>
        <w:ind w:left="1202"/>
        <w:jc w:val="both"/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</w:pP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Thnganan“Dxgal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Truku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</w:t>
      </w:r>
      <w:r w:rsidR="000D0A5B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K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lwaan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</w:t>
      </w:r>
      <w:r w:rsidR="000D0A5B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S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</w:t>
      </w:r>
      <w:r w:rsidR="000D0A5B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R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migaw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”</w:t>
      </w:r>
      <w:proofErr w:type="spellStart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sayang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dxgal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kika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nniqan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rudan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</w:t>
      </w:r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Tuda</w:t>
      </w:r>
      <w:proofErr w:type="spellEnd"/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>ni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Truku</w:t>
      </w:r>
      <w:proofErr w:type="spellEnd"/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. Ga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hiya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suyang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bi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lastRenderedPageBreak/>
        <w:t>alang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llabang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bi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saan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tmsamat</w:t>
      </w:r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,qnpahan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qndrxan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bqrus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rudan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ta. Gaga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hiya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uri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hangan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alang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nniqan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ayug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yayung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dgiyaq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kana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ana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mamu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saw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sklwiun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endaan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dha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.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Mnegaya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msblaiq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bi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kndsan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dha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knxalan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siida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.</w:t>
      </w:r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br/>
      </w:r>
      <w:r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 xml:space="preserve">   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Lnglungun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974976" w:rsidRPr="00D6021B">
        <w:rPr>
          <w:rFonts w:ascii="Times New Roman" w:eastAsia="新細明體" w:hAnsi="Times New Roman" w:cs="Times New Roman" w:hint="eastAsia"/>
          <w:color w:val="000000" w:themeColor="text1"/>
          <w:kern w:val="0"/>
          <w:sz w:val="32"/>
          <w:szCs w:val="32"/>
        </w:rPr>
        <w:t xml:space="preserve">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nniqan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rudan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sbiyaw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mdka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saw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aji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laxun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saw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skrwahun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,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klaun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paah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saw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nii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.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Yaasa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malu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nniqan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rudan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ta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seuxal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o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wada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maamalu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balay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kndsan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dha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proofErr w:type="gram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ni</w:t>
      </w:r>
      <w:proofErr w:type="spellEnd"/>
      <w:proofErr w:type="gram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lnglungan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proofErr w:type="spellStart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dha</w:t>
      </w:r>
      <w:proofErr w:type="spellEnd"/>
      <w:r w:rsidRPr="00D6021B"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  <w:t>.</w:t>
      </w:r>
    </w:p>
    <w:p w:rsidR="006C7738" w:rsidRPr="00D6021B" w:rsidRDefault="006C7738" w:rsidP="00311BA9">
      <w:pPr>
        <w:widowControl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sectPr w:rsidR="006C7738" w:rsidRPr="00D6021B" w:rsidSect="00311BA9">
          <w:type w:val="continuous"/>
          <w:pgSz w:w="23814" w:h="16839" w:orient="landscape" w:code="8"/>
          <w:pgMar w:top="1800" w:right="1440" w:bottom="1800" w:left="1440" w:header="851" w:footer="992" w:gutter="0"/>
          <w:cols w:num="2" w:space="720"/>
          <w:docGrid w:type="lines" w:linePitch="360"/>
        </w:sectPr>
      </w:pPr>
    </w:p>
    <w:p w:rsidR="006C7738" w:rsidRPr="00D6021B" w:rsidRDefault="006C7738" w:rsidP="00311BA9">
      <w:pPr>
        <w:widowControl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602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lastRenderedPageBreak/>
        <w:br/>
      </w:r>
    </w:p>
    <w:p w:rsidR="00311BA9" w:rsidRDefault="00311BA9" w:rsidP="006C7738">
      <w:pPr>
        <w:widowControl/>
        <w:ind w:left="1202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  <w:sectPr w:rsidR="00311BA9" w:rsidSect="00311BA9">
          <w:type w:val="continuous"/>
          <w:pgSz w:w="23814" w:h="16839" w:orient="landscape" w:code="8"/>
          <w:pgMar w:top="1800" w:right="1440" w:bottom="1800" w:left="1440" w:header="851" w:footer="992" w:gutter="0"/>
          <w:cols w:num="2" w:space="720"/>
          <w:docGrid w:type="lines" w:linePitch="360"/>
        </w:sectPr>
      </w:pPr>
    </w:p>
    <w:p w:rsidR="006C7738" w:rsidRDefault="006C7738" w:rsidP="00311BA9">
      <w:pPr>
        <w:widowControl/>
        <w:ind w:left="1202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lastRenderedPageBreak/>
        <w:t>103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年</w:t>
      </w:r>
      <w:r w:rsidR="009E36D5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全國語文競賽</w:t>
      </w:r>
      <w:r w:rsidR="001A50A8">
        <w:rPr>
          <w:rFonts w:ascii="Times New Roman" w:eastAsia="標楷體" w:hAnsi="Times New Roman"/>
          <w:color w:val="000000" w:themeColor="text1"/>
          <w:sz w:val="40"/>
          <w:szCs w:val="40"/>
        </w:rPr>
        <w:t>原住民族語朗讀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【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太魯閣語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】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國小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學生組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 xml:space="preserve"> 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編號</w:t>
      </w:r>
      <w:r w:rsidRPr="00D6021B">
        <w:rPr>
          <w:rFonts w:ascii="Times New Roman" w:eastAsia="標楷體" w:hAnsi="Times New Roman"/>
          <w:color w:val="000000" w:themeColor="text1"/>
          <w:sz w:val="40"/>
          <w:szCs w:val="40"/>
        </w:rPr>
        <w:t>0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2</w:t>
      </w:r>
      <w:r w:rsidRPr="00D6021B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號</w:t>
      </w:r>
    </w:p>
    <w:p w:rsidR="001A50A8" w:rsidRPr="001A50A8" w:rsidRDefault="001A50A8" w:rsidP="00311BA9">
      <w:pPr>
        <w:widowControl/>
        <w:ind w:left="1202"/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:rsidR="006C7738" w:rsidRPr="00D6021B" w:rsidRDefault="00D6021B" w:rsidP="006C7738">
      <w:pPr>
        <w:widowControl/>
        <w:spacing w:after="100" w:afterAutospacing="1"/>
        <w:ind w:left="1202"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 w:val="40"/>
          <w:szCs w:val="40"/>
        </w:rPr>
      </w:pPr>
      <w:r w:rsidRPr="00D6021B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我們是臺</w:t>
      </w:r>
      <w:r w:rsidR="006C7738" w:rsidRPr="00D6021B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灣原住民</w:t>
      </w:r>
    </w:p>
    <w:p w:rsidR="006C7738" w:rsidRPr="00D6021B" w:rsidRDefault="006C7738" w:rsidP="006C7738">
      <w:pPr>
        <w:widowControl/>
        <w:spacing w:after="100" w:afterAutospacing="1"/>
        <w:ind w:left="1202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sectPr w:rsidR="006C7738" w:rsidRPr="00D6021B" w:rsidSect="00311BA9">
          <w:type w:val="continuous"/>
          <w:pgSz w:w="23814" w:h="16839" w:orient="landscape" w:code="8"/>
          <w:pgMar w:top="1800" w:right="1440" w:bottom="1800" w:left="1440" w:header="851" w:footer="992" w:gutter="0"/>
          <w:cols w:space="720"/>
          <w:docGrid w:type="lines" w:linePitch="360"/>
        </w:sectPr>
      </w:pPr>
    </w:p>
    <w:p w:rsidR="009E36D5" w:rsidRDefault="006C7738" w:rsidP="009E36D5">
      <w:pPr>
        <w:widowControl/>
        <w:spacing w:after="100" w:afterAutospacing="1" w:line="720" w:lineRule="auto"/>
        <w:ind w:left="1202"/>
        <w:jc w:val="both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lastRenderedPageBreak/>
        <w:t xml:space="preserve">    </w:t>
      </w:r>
      <w:r w:rsidR="00D6021B"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臺</w:t>
      </w: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灣原住民族多。我們太魯閣族人在這裡已居有六千年以上了。在四百年前，我們的祖先從</w:t>
      </w:r>
      <w:proofErr w:type="gramStart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德路灣區</w:t>
      </w:r>
      <w:proofErr w:type="gramEnd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越過奇萊山北峰下到德布</w:t>
      </w:r>
      <w:proofErr w:type="gramStart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柯</w:t>
      </w:r>
      <w:proofErr w:type="gramEnd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，人口增多就擴展到整個立霧溪及木瓜溪，道賽溪及森林溪</w:t>
      </w:r>
      <w:r w:rsidR="00974976"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沿</w:t>
      </w: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岸。</w:t>
      </w:r>
    </w:p>
    <w:p w:rsidR="006C7738" w:rsidRPr="00D6021B" w:rsidRDefault="006C7738" w:rsidP="009E36D5">
      <w:pPr>
        <w:widowControl/>
        <w:spacing w:after="100" w:afterAutospacing="1" w:line="720" w:lineRule="auto"/>
        <w:ind w:left="1202"/>
        <w:jc w:val="both"/>
        <w:rPr>
          <w:rFonts w:ascii="Times New Roman" w:eastAsia="新細明體" w:hAnsi="Times New Roman" w:cs="Times New Roman"/>
          <w:color w:val="000000" w:themeColor="text1"/>
          <w:kern w:val="0"/>
          <w:sz w:val="32"/>
          <w:szCs w:val="32"/>
        </w:rPr>
      </w:pP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 xml:space="preserve">    現在所謂的「太魯閣國家公園」地區就是</w:t>
      </w:r>
      <w:proofErr w:type="gramStart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我們得烏達</w:t>
      </w:r>
      <w:r w:rsidR="00974976"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道</w:t>
      </w:r>
      <w:proofErr w:type="gramEnd"/>
      <w:r w:rsidR="00974976"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達</w:t>
      </w: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和太魯閣族人的祖先居住區。那裡有美麗的故鄉、寬廣的獵區、祖</w:t>
      </w: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lastRenderedPageBreak/>
        <w:t>先的田園、遺址、墓園；那裡有部落、溪谷、河流、山嶺的名稱和可歌可泣的事蹟。在他們的時代</w:t>
      </w:r>
      <w:proofErr w:type="gramStart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裡曾過著</w:t>
      </w:r>
      <w:proofErr w:type="gramEnd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守法紀和和</w:t>
      </w:r>
      <w:proofErr w:type="gramStart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諧</w:t>
      </w:r>
      <w:proofErr w:type="gramEnd"/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的生活。</w:t>
      </w:r>
      <w:r w:rsidRPr="00D6021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br/>
        <w:t xml:space="preserve">    從這裡我們可以知道，因為祖先居住的地方非常好，所以他們生活平安快樂。</w:t>
      </w:r>
    </w:p>
    <w:p w:rsidR="006C7738" w:rsidRPr="00D6021B" w:rsidRDefault="006C7738" w:rsidP="006C7738">
      <w:pPr>
        <w:widowControl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  <w:sectPr w:rsidR="006C7738" w:rsidRPr="00D6021B" w:rsidSect="00311BA9">
          <w:type w:val="continuous"/>
          <w:pgSz w:w="23814" w:h="16839" w:orient="landscape" w:code="8"/>
          <w:pgMar w:top="1800" w:right="1440" w:bottom="1800" w:left="1440" w:header="851" w:footer="992" w:gutter="0"/>
          <w:cols w:num="2" w:space="720"/>
          <w:docGrid w:type="lines" w:linePitch="360"/>
        </w:sectPr>
      </w:pPr>
    </w:p>
    <w:p w:rsidR="006C7738" w:rsidRPr="00D6021B" w:rsidRDefault="006C7738" w:rsidP="006C7738">
      <w:pPr>
        <w:widowControl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</w:p>
    <w:p w:rsidR="009F634E" w:rsidRPr="00D6021B" w:rsidRDefault="009F634E">
      <w:pPr>
        <w:rPr>
          <w:color w:val="000000" w:themeColor="text1"/>
        </w:rPr>
      </w:pPr>
    </w:p>
    <w:sectPr w:rsidR="009F634E" w:rsidRPr="00D6021B" w:rsidSect="006C7738">
      <w:type w:val="continuous"/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3B" w:rsidRDefault="009E333B" w:rsidP="00670B5D">
      <w:r>
        <w:separator/>
      </w:r>
    </w:p>
  </w:endnote>
  <w:endnote w:type="continuationSeparator" w:id="0">
    <w:p w:rsidR="009E333B" w:rsidRDefault="009E333B" w:rsidP="0067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3B" w:rsidRDefault="009E333B" w:rsidP="00670B5D">
      <w:r>
        <w:separator/>
      </w:r>
    </w:p>
  </w:footnote>
  <w:footnote w:type="continuationSeparator" w:id="0">
    <w:p w:rsidR="009E333B" w:rsidRDefault="009E333B" w:rsidP="0067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38"/>
    <w:rsid w:val="0008197F"/>
    <w:rsid w:val="000D0A5B"/>
    <w:rsid w:val="00154968"/>
    <w:rsid w:val="001A50A8"/>
    <w:rsid w:val="002E3249"/>
    <w:rsid w:val="00311BA9"/>
    <w:rsid w:val="005C2495"/>
    <w:rsid w:val="00670B5D"/>
    <w:rsid w:val="006C7738"/>
    <w:rsid w:val="008F6E0D"/>
    <w:rsid w:val="00974976"/>
    <w:rsid w:val="009E333B"/>
    <w:rsid w:val="009E36D5"/>
    <w:rsid w:val="009F634E"/>
    <w:rsid w:val="00C40A84"/>
    <w:rsid w:val="00D2476B"/>
    <w:rsid w:val="00D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B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B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B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ALCD</dc:creator>
  <cp:lastModifiedBy>wlps</cp:lastModifiedBy>
  <cp:revision>2</cp:revision>
  <cp:lastPrinted>2014-06-30T06:56:00Z</cp:lastPrinted>
  <dcterms:created xsi:type="dcterms:W3CDTF">2014-11-18T07:06:00Z</dcterms:created>
  <dcterms:modified xsi:type="dcterms:W3CDTF">2014-11-18T07:06:00Z</dcterms:modified>
</cp:coreProperties>
</file>