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896BF4" w:rsidRPr="00896BF4" w:rsidTr="00FB6712">
        <w:trPr>
          <w:tblCellSpacing w:w="0" w:type="dxa"/>
        </w:trPr>
        <w:tc>
          <w:tcPr>
            <w:tcW w:w="8222" w:type="dxa"/>
            <w:vAlign w:val="center"/>
            <w:hideMark/>
          </w:tcPr>
          <w:p w:rsidR="00896BF4" w:rsidRPr="007E4400" w:rsidRDefault="00896BF4" w:rsidP="00896BF4">
            <w:pPr>
              <w:widowControl/>
              <w:spacing w:line="510" w:lineRule="atLeast"/>
              <w:outlineLvl w:val="0"/>
              <w:rPr>
                <w:rFonts w:asciiTheme="minorEastAsia" w:hAnsiTheme="minorEastAsia" w:cs="Arial"/>
                <w:b/>
                <w:bCs/>
                <w:color w:val="0F0F0F"/>
                <w:kern w:val="36"/>
                <w:sz w:val="48"/>
                <w:szCs w:val="48"/>
              </w:rPr>
            </w:pPr>
            <w:r w:rsidRPr="007E4400">
              <w:rPr>
                <w:rFonts w:asciiTheme="minorEastAsia" w:hAnsiTheme="minorEastAsia" w:cs="Arial"/>
                <w:b/>
                <w:bCs/>
                <w:color w:val="0F0F0F"/>
                <w:kern w:val="36"/>
                <w:sz w:val="48"/>
                <w:szCs w:val="48"/>
              </w:rPr>
              <w:t>讀山海經</w:t>
            </w:r>
            <w:proofErr w:type="gramStart"/>
            <w:r w:rsidRPr="007E4400">
              <w:rPr>
                <w:rFonts w:asciiTheme="minorEastAsia" w:hAnsiTheme="minorEastAsia" w:cs="Arial"/>
                <w:b/>
                <w:bCs/>
                <w:color w:val="0F0F0F"/>
                <w:kern w:val="36"/>
                <w:sz w:val="48"/>
                <w:szCs w:val="48"/>
              </w:rPr>
              <w:t>·</w:t>
            </w:r>
            <w:proofErr w:type="gramEnd"/>
            <w:r w:rsidRPr="007E4400">
              <w:rPr>
                <w:rFonts w:asciiTheme="minorEastAsia" w:hAnsiTheme="minorEastAsia" w:cs="Arial"/>
                <w:b/>
                <w:bCs/>
                <w:color w:val="0F0F0F"/>
                <w:kern w:val="36"/>
                <w:sz w:val="48"/>
                <w:szCs w:val="48"/>
              </w:rPr>
              <w:t>其一</w:t>
            </w:r>
            <w:r w:rsidR="007E4400">
              <w:rPr>
                <w:rFonts w:asciiTheme="minorEastAsia" w:hAnsiTheme="minorEastAsia" w:cs="Arial" w:hint="eastAsia"/>
                <w:b/>
                <w:bCs/>
                <w:color w:val="0F0F0F"/>
                <w:kern w:val="36"/>
                <w:sz w:val="48"/>
                <w:szCs w:val="48"/>
              </w:rPr>
              <w:t xml:space="preserve">      </w:t>
            </w:r>
            <w:hyperlink r:id="rId5" w:tooltip="陶淵明簡介" w:history="1">
              <w:r w:rsidRPr="007E4400">
                <w:rPr>
                  <w:rFonts w:asciiTheme="minorEastAsia" w:hAnsiTheme="minorEastAsia" w:cs="Arial"/>
                  <w:b/>
                  <w:kern w:val="0"/>
                  <w:sz w:val="48"/>
                  <w:szCs w:val="48"/>
                </w:rPr>
                <w:t>陶淵明</w:t>
              </w:r>
            </w:hyperlink>
          </w:p>
          <w:p w:rsidR="00896BF4" w:rsidRPr="00FB6712" w:rsidRDefault="00896BF4" w:rsidP="00896BF4">
            <w:pPr>
              <w:widowControl/>
              <w:spacing w:before="45" w:after="45" w:line="315" w:lineRule="atLeast"/>
              <w:ind w:left="45" w:right="45"/>
              <w:rPr>
                <w:rFonts w:eastAsia="台灣楷體" w:cs="Arial"/>
                <w:color w:val="0F0F0F"/>
                <w:kern w:val="0"/>
                <w:sz w:val="28"/>
                <w:szCs w:val="28"/>
              </w:rPr>
            </w:pP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T</w:t>
            </w:r>
            <w:r w:rsid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ho̍k</w:t>
            </w:r>
            <w:proofErr w:type="spellEnd"/>
            <w:r w:rsidR="00FB6712">
              <w:rPr>
                <w:rFonts w:eastAsia="台灣楷體" w:cs="Arial" w:hint="eastAsia"/>
                <w:color w:val="0F0F0F"/>
                <w:kern w:val="0"/>
                <w:sz w:val="28"/>
                <w:szCs w:val="28"/>
              </w:rPr>
              <w:t xml:space="preserve"> </w:t>
            </w:r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san-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hái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-king   </w:t>
            </w:r>
            <w:r w:rsidR="003F7555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  </w:t>
            </w:r>
            <w:r w:rsidR="007E4400">
              <w:rPr>
                <w:rFonts w:eastAsia="台灣楷體" w:cs="Arial" w:hint="eastAsia"/>
                <w:color w:val="0F0F0F"/>
                <w:kern w:val="0"/>
                <w:sz w:val="28"/>
                <w:szCs w:val="28"/>
              </w:rPr>
              <w:t xml:space="preserve">      </w:t>
            </w:r>
            <w:r w:rsidR="003F7555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      </w:t>
            </w:r>
            <w:proofErr w:type="spellStart"/>
            <w:r w:rsidR="003F7555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Tô</w:t>
            </w:r>
            <w:proofErr w:type="spellEnd"/>
            <w:r w:rsidR="003F7555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 I</w:t>
            </w:r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an-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bîng</w:t>
            </w:r>
            <w:proofErr w:type="spellEnd"/>
          </w:p>
          <w:p w:rsidR="00896BF4" w:rsidRPr="007E4400" w:rsidRDefault="00896BF4" w:rsidP="00896BF4">
            <w:pPr>
              <w:widowControl/>
              <w:spacing w:line="420" w:lineRule="atLeast"/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</w:pPr>
            <w:r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孟夏草木長，</w:t>
            </w:r>
            <w:proofErr w:type="gramStart"/>
            <w:r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繞屋樹扶疏</w:t>
            </w:r>
            <w:proofErr w:type="gramEnd"/>
            <w:r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。</w:t>
            </w:r>
          </w:p>
          <w:p w:rsidR="00C36DAA" w:rsidRDefault="00896BF4" w:rsidP="00FB6712">
            <w:pPr>
              <w:widowControl/>
              <w:spacing w:line="420" w:lineRule="atLeast"/>
              <w:ind w:rightChars="59" w:right="142"/>
              <w:rPr>
                <w:rFonts w:asciiTheme="minorEastAsia" w:hAnsiTheme="minorEastAsia" w:cs="台灣楷體"/>
                <w:color w:val="0F0F0F"/>
                <w:kern w:val="0"/>
                <w:sz w:val="28"/>
                <w:szCs w:val="28"/>
              </w:rPr>
            </w:pP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B</w:t>
            </w:r>
            <w:r w:rsid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īng-hā</w:t>
            </w:r>
            <w:proofErr w:type="spellEnd"/>
            <w:r w:rsidR="00FB6712">
              <w:rPr>
                <w:rFonts w:eastAsia="台灣楷體" w:cs="Arial" w:hint="eastAsia"/>
                <w:color w:val="0F0F0F"/>
                <w:kern w:val="0"/>
                <w:sz w:val="28"/>
                <w:szCs w:val="28"/>
              </w:rPr>
              <w:t xml:space="preserve"> 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tshó-bo̍k-tióng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, </w:t>
            </w:r>
            <w:proofErr w:type="spellStart"/>
            <w:r w:rsidR="00C36DAA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jiàu</w:t>
            </w:r>
            <w:proofErr w:type="spellEnd"/>
            <w:r w:rsidR="00C36DAA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-ok </w:t>
            </w:r>
            <w:proofErr w:type="spellStart"/>
            <w:r w:rsidR="00C36DAA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sū-hû-soo</w:t>
            </w:r>
            <w:proofErr w:type="spellEnd"/>
            <w:r w:rsidR="00C36DAA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.</w:t>
            </w:r>
            <w:r w:rsidRPr="00896BF4">
              <w:rPr>
                <w:rFonts w:ascii="台灣楷體" w:eastAsia="台灣楷體" w:hAnsi="台灣楷體" w:cs="Arial"/>
                <w:color w:val="0F0F0F"/>
                <w:kern w:val="0"/>
                <w:sz w:val="28"/>
                <w:szCs w:val="28"/>
              </w:rPr>
              <w:br/>
            </w:r>
            <w:proofErr w:type="gramStart"/>
            <w:r w:rsidR="00C36DAA" w:rsidRPr="007E4400">
              <w:rPr>
                <w:rFonts w:asciiTheme="minorEastAsia" w:hAnsiTheme="minorEastAsia" w:cs="新細明體" w:hint="eastAsia"/>
                <w:b/>
                <w:color w:val="0F0F0F"/>
                <w:kern w:val="0"/>
                <w:sz w:val="32"/>
                <w:szCs w:val="32"/>
              </w:rPr>
              <w:t>眾</w:t>
            </w:r>
            <w:r w:rsidRPr="007E4400">
              <w:rPr>
                <w:rFonts w:asciiTheme="minorEastAsia" w:hAnsiTheme="minorEastAsia" w:cs="台灣楷體" w:hint="eastAsia"/>
                <w:b/>
                <w:color w:val="0F0F0F"/>
                <w:kern w:val="0"/>
                <w:sz w:val="32"/>
                <w:szCs w:val="32"/>
              </w:rPr>
              <w:t>鳥欣有託</w:t>
            </w:r>
            <w:proofErr w:type="gramEnd"/>
            <w:r w:rsidRPr="007E4400">
              <w:rPr>
                <w:rFonts w:asciiTheme="minorEastAsia" w:hAnsiTheme="minorEastAsia" w:cs="台灣楷體" w:hint="eastAsia"/>
                <w:b/>
                <w:color w:val="0F0F0F"/>
                <w:kern w:val="0"/>
                <w:sz w:val="32"/>
                <w:szCs w:val="32"/>
              </w:rPr>
              <w:t>，吾亦愛吾廬。</w:t>
            </w:r>
          </w:p>
          <w:p w:rsidR="00C36DAA" w:rsidRPr="00C36DAA" w:rsidRDefault="007E4400" w:rsidP="00896BF4">
            <w:pPr>
              <w:widowControl/>
              <w:spacing w:line="420" w:lineRule="atLeast"/>
              <w:rPr>
                <w:rFonts w:asciiTheme="minorEastAsia" w:hAnsiTheme="minorEastAsia" w:cs="台灣楷體"/>
                <w:color w:val="0F0F0F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台灣楷體" w:cs="台灣楷體"/>
                <w:color w:val="0F0F0F"/>
                <w:kern w:val="0"/>
                <w:sz w:val="28"/>
                <w:szCs w:val="28"/>
              </w:rPr>
              <w:t>Tsiòng-niáu</w:t>
            </w:r>
            <w:proofErr w:type="spellEnd"/>
            <w:r>
              <w:rPr>
                <w:rFonts w:eastAsia="台灣楷體" w:cs="台灣楷體"/>
                <w:color w:val="0F0F0F"/>
                <w:kern w:val="0"/>
                <w:sz w:val="28"/>
                <w:szCs w:val="28"/>
              </w:rPr>
              <w:t xml:space="preserve"> him-</w:t>
            </w:r>
            <w:proofErr w:type="spellStart"/>
            <w:r>
              <w:rPr>
                <w:rFonts w:eastAsia="台灣楷體" w:cs="台灣楷體"/>
                <w:color w:val="0F0F0F"/>
                <w:kern w:val="0"/>
                <w:sz w:val="28"/>
                <w:szCs w:val="28"/>
              </w:rPr>
              <w:t>iú</w:t>
            </w:r>
            <w:proofErr w:type="spellEnd"/>
            <w:r>
              <w:rPr>
                <w:rFonts w:eastAsia="台灣楷體" w:cs="台灣楷體"/>
                <w:color w:val="0F0F0F"/>
                <w:kern w:val="0"/>
                <w:sz w:val="28"/>
                <w:szCs w:val="28"/>
              </w:rPr>
              <w:t>-</w:t>
            </w:r>
            <w:proofErr w:type="spellStart"/>
            <w:r>
              <w:rPr>
                <w:rFonts w:eastAsia="台灣楷體" w:cs="台灣楷體"/>
                <w:color w:val="0F0F0F"/>
                <w:kern w:val="0"/>
                <w:sz w:val="28"/>
                <w:szCs w:val="28"/>
              </w:rPr>
              <w:t>thok</w:t>
            </w:r>
            <w:proofErr w:type="spellEnd"/>
            <w:r>
              <w:rPr>
                <w:rFonts w:eastAsia="台灣楷體" w:cs="台灣楷體"/>
                <w:color w:val="0F0F0F"/>
                <w:kern w:val="0"/>
                <w:sz w:val="28"/>
                <w:szCs w:val="28"/>
              </w:rPr>
              <w:t>,</w:t>
            </w:r>
            <w:r>
              <w:rPr>
                <w:rFonts w:eastAsia="台灣楷體" w:cs="台灣楷體" w:hint="eastAsia"/>
                <w:color w:val="0F0F0F"/>
                <w:kern w:val="0"/>
                <w:sz w:val="28"/>
                <w:szCs w:val="28"/>
              </w:rPr>
              <w:t xml:space="preserve"> </w:t>
            </w:r>
            <w:proofErr w:type="spellStart"/>
            <w:r w:rsidR="00C36DAA" w:rsidRPr="00FB6712">
              <w:rPr>
                <w:rFonts w:eastAsia="台灣楷體" w:cs="台灣楷體"/>
                <w:color w:val="0F0F0F"/>
                <w:kern w:val="0"/>
                <w:sz w:val="28"/>
                <w:szCs w:val="28"/>
              </w:rPr>
              <w:t>ngôo-i̍k</w:t>
            </w:r>
            <w:proofErr w:type="spellEnd"/>
            <w:r w:rsidR="00C36DAA" w:rsidRPr="00FB6712">
              <w:rPr>
                <w:rFonts w:eastAsia="台灣楷體" w:cs="台灣楷體"/>
                <w:color w:val="0F0F0F"/>
                <w:kern w:val="0"/>
                <w:sz w:val="28"/>
                <w:szCs w:val="28"/>
              </w:rPr>
              <w:t xml:space="preserve"> </w:t>
            </w:r>
            <w:proofErr w:type="spellStart"/>
            <w:r w:rsidR="00C36DAA" w:rsidRPr="00FB6712">
              <w:rPr>
                <w:rFonts w:eastAsia="台灣楷體" w:cs="台灣楷體"/>
                <w:color w:val="0F0F0F"/>
                <w:kern w:val="0"/>
                <w:sz w:val="28"/>
                <w:szCs w:val="28"/>
              </w:rPr>
              <w:t>ài-ngôo-lôo</w:t>
            </w:r>
            <w:proofErr w:type="spellEnd"/>
            <w:r w:rsidR="00C36DAA" w:rsidRPr="00FB6712">
              <w:rPr>
                <w:rFonts w:eastAsia="台灣楷體" w:cs="台灣楷體"/>
                <w:color w:val="0F0F0F"/>
                <w:kern w:val="0"/>
                <w:sz w:val="28"/>
                <w:szCs w:val="28"/>
              </w:rPr>
              <w:t>.</w:t>
            </w:r>
            <w:r w:rsidR="00896BF4" w:rsidRPr="00896BF4">
              <w:rPr>
                <w:rFonts w:asciiTheme="minorEastAsia" w:hAnsiTheme="minorEastAsia" w:cs="Arial"/>
                <w:color w:val="0F0F0F"/>
                <w:kern w:val="0"/>
                <w:sz w:val="28"/>
                <w:szCs w:val="28"/>
              </w:rPr>
              <w:br/>
            </w:r>
            <w:proofErr w:type="gramStart"/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既耕亦</w:t>
            </w:r>
            <w:proofErr w:type="gramEnd"/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已種，時還讀我書。</w:t>
            </w:r>
          </w:p>
          <w:p w:rsidR="00C36DAA" w:rsidRPr="007E4400" w:rsidRDefault="007612C4" w:rsidP="00896BF4">
            <w:pPr>
              <w:widowControl/>
              <w:spacing w:line="420" w:lineRule="atLeast"/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</w:pP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K</w:t>
            </w:r>
            <w:r w:rsidR="000F00E7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ì</w:t>
            </w:r>
            <w:proofErr w:type="spellEnd"/>
            <w:r w:rsidR="000F00E7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-king</w:t>
            </w:r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 </w:t>
            </w:r>
            <w:proofErr w:type="spellStart"/>
            <w:r w:rsidR="000F00E7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i̍k-í-tsiòng</w:t>
            </w:r>
            <w:proofErr w:type="spellEnd"/>
            <w:r w:rsidR="000F00E7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, 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sî-huân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 </w:t>
            </w:r>
            <w:proofErr w:type="spellStart"/>
            <w:r w:rsidR="000F00E7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tho̍k-ngóo-su</w:t>
            </w:r>
            <w:proofErr w:type="spellEnd"/>
            <w:r w:rsidR="000F00E7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.</w:t>
            </w:r>
            <w:r w:rsidR="00896BF4" w:rsidRPr="000F00E7">
              <w:rPr>
                <w:rFonts w:asciiTheme="minorEastAsia" w:hAnsiTheme="minorEastAsia" w:cs="Arial"/>
                <w:color w:val="0F0F0F"/>
                <w:kern w:val="0"/>
                <w:sz w:val="28"/>
                <w:szCs w:val="28"/>
              </w:rPr>
              <w:br/>
            </w:r>
            <w:proofErr w:type="gramStart"/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窮巷隔深轍，頗回</w:t>
            </w:r>
            <w:proofErr w:type="gramEnd"/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故人車。</w:t>
            </w:r>
          </w:p>
          <w:p w:rsidR="00C36DAA" w:rsidRDefault="00AA6232" w:rsidP="00896BF4">
            <w:pPr>
              <w:widowControl/>
              <w:spacing w:line="420" w:lineRule="atLeast"/>
              <w:rPr>
                <w:rFonts w:asciiTheme="minorEastAsia" w:hAnsiTheme="minorEastAsia" w:cs="Arial"/>
                <w:color w:val="0F0F0F"/>
                <w:kern w:val="0"/>
                <w:sz w:val="28"/>
                <w:szCs w:val="28"/>
              </w:rPr>
            </w:pP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Kiông-hāng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 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kik-tshim-tiat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, 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phó-huê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 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kòo-jîn-ku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.</w:t>
            </w:r>
            <w:r w:rsidR="00896BF4" w:rsidRPr="00AA6232">
              <w:rPr>
                <w:rFonts w:ascii="台灣楷體" w:eastAsia="台灣楷體" w:hAnsi="台灣楷體" w:cs="Arial"/>
                <w:color w:val="0F0F0F"/>
                <w:kern w:val="0"/>
                <w:sz w:val="28"/>
                <w:szCs w:val="28"/>
              </w:rPr>
              <w:br/>
            </w:r>
            <w:bookmarkStart w:id="0" w:name="_GoBack"/>
            <w:proofErr w:type="gramStart"/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歡言酌</w:t>
            </w:r>
            <w:proofErr w:type="gramEnd"/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春酒，摘</w:t>
            </w:r>
            <w:proofErr w:type="gramStart"/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我園中蔬。</w:t>
            </w:r>
            <w:bookmarkEnd w:id="0"/>
            <w:proofErr w:type="gramEnd"/>
          </w:p>
          <w:p w:rsidR="00C36DAA" w:rsidRPr="007E4400" w:rsidRDefault="00AA6232" w:rsidP="00896BF4">
            <w:pPr>
              <w:widowControl/>
              <w:spacing w:line="420" w:lineRule="atLeast"/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</w:pP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Huan-giân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 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tsiok-tshun-tsiú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, </w:t>
            </w:r>
            <w:proofErr w:type="spellStart"/>
            <w:r w:rsidR="00E576BB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tik-ngóo</w:t>
            </w:r>
            <w:proofErr w:type="spellEnd"/>
            <w:r w:rsidR="00E576BB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 </w:t>
            </w:r>
            <w:proofErr w:type="spellStart"/>
            <w:r w:rsidR="00E576BB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uân-tiong-soo</w:t>
            </w:r>
            <w:proofErr w:type="spellEnd"/>
            <w:r w:rsidR="00E576BB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.</w:t>
            </w:r>
            <w:r w:rsidR="00896BF4" w:rsidRPr="00AA6232">
              <w:rPr>
                <w:rFonts w:ascii="台灣楷體" w:eastAsia="台灣楷體" w:hAnsi="台灣楷體" w:cs="Arial"/>
                <w:color w:val="0F0F0F"/>
                <w:kern w:val="0"/>
                <w:sz w:val="28"/>
                <w:szCs w:val="28"/>
              </w:rPr>
              <w:br/>
            </w:r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微雨從東來，好風</w:t>
            </w:r>
            <w:proofErr w:type="gramStart"/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與之俱</w:t>
            </w:r>
            <w:proofErr w:type="gramEnd"/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。</w:t>
            </w:r>
          </w:p>
          <w:p w:rsidR="00C36DAA" w:rsidRDefault="00855F35" w:rsidP="00896BF4">
            <w:pPr>
              <w:widowControl/>
              <w:spacing w:line="420" w:lineRule="atLeast"/>
              <w:rPr>
                <w:rFonts w:asciiTheme="minorEastAsia" w:hAnsiTheme="minorEastAsia" w:cs="Arial"/>
                <w:color w:val="0F0F0F"/>
                <w:kern w:val="0"/>
                <w:sz w:val="28"/>
                <w:szCs w:val="28"/>
              </w:rPr>
            </w:pP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Bî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-ú 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tsiông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-tong-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lâi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, 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hònn-hong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 ú-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tsi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-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khū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.</w:t>
            </w:r>
            <w:r w:rsidR="00896BF4" w:rsidRPr="00AA6232">
              <w:rPr>
                <w:rFonts w:ascii="台灣楷體" w:eastAsia="台灣楷體" w:hAnsi="台灣楷體" w:cs="Arial"/>
                <w:color w:val="0F0F0F"/>
                <w:kern w:val="0"/>
                <w:sz w:val="28"/>
                <w:szCs w:val="28"/>
              </w:rPr>
              <w:br/>
            </w:r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泛</w:t>
            </w:r>
            <w:proofErr w:type="gramStart"/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覽</w:t>
            </w:r>
            <w:proofErr w:type="gramEnd"/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《周王傳》，</w:t>
            </w:r>
            <w:proofErr w:type="gramStart"/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流觀《山海》</w:t>
            </w:r>
            <w:proofErr w:type="gramEnd"/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圖。</w:t>
            </w:r>
          </w:p>
          <w:p w:rsidR="00896BF4" w:rsidRPr="007E4400" w:rsidRDefault="00D02C00" w:rsidP="00896BF4">
            <w:pPr>
              <w:widowControl/>
              <w:spacing w:line="420" w:lineRule="atLeast"/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</w:pP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Huān-lám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 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Tsiu-ông-tuān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, 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liû-kuan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 San-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hái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-</w:t>
            </w:r>
            <w:proofErr w:type="spellStart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tôo</w:t>
            </w:r>
            <w:proofErr w:type="spellEnd"/>
            <w:r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.</w:t>
            </w:r>
            <w:r w:rsidR="00896BF4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br/>
            </w:r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俯仰終宇宙，</w:t>
            </w:r>
            <w:proofErr w:type="gramStart"/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不樂復何如</w:t>
            </w:r>
            <w:proofErr w:type="gramEnd"/>
            <w:r w:rsidR="00896BF4" w:rsidRPr="007E4400">
              <w:rPr>
                <w:rFonts w:asciiTheme="minorEastAsia" w:hAnsiTheme="minorEastAsia" w:cs="Arial"/>
                <w:b/>
                <w:color w:val="0F0F0F"/>
                <w:kern w:val="0"/>
                <w:sz w:val="32"/>
                <w:szCs w:val="32"/>
              </w:rPr>
              <w:t>？</w:t>
            </w:r>
          </w:p>
          <w:p w:rsidR="00C36DAA" w:rsidRPr="00FB6712" w:rsidRDefault="00935913" w:rsidP="00896BF4">
            <w:pPr>
              <w:widowControl/>
              <w:spacing w:line="420" w:lineRule="atLeast"/>
              <w:rPr>
                <w:rFonts w:eastAsia="台灣楷體" w:cs="Arial"/>
                <w:color w:val="0F0F0F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台灣楷體" w:cs="Arial" w:hint="eastAsia"/>
                <w:color w:val="0F0F0F"/>
                <w:kern w:val="0"/>
                <w:sz w:val="28"/>
                <w:szCs w:val="28"/>
              </w:rPr>
              <w:t>H</w:t>
            </w:r>
            <w:r w:rsidR="00D02C00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ú-gióng</w:t>
            </w:r>
            <w:proofErr w:type="spellEnd"/>
            <w:r w:rsidR="00D02C00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 </w:t>
            </w:r>
            <w:proofErr w:type="spellStart"/>
            <w:r w:rsidR="00D02C00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tsiong</w:t>
            </w:r>
            <w:proofErr w:type="spellEnd"/>
            <w:r w:rsidR="00D02C00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-ú-</w:t>
            </w:r>
            <w:proofErr w:type="spellStart"/>
            <w:r w:rsidR="00D02C00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tiū</w:t>
            </w:r>
            <w:proofErr w:type="spellEnd"/>
            <w:r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,</w:t>
            </w:r>
            <w:r>
              <w:rPr>
                <w:rFonts w:eastAsia="台灣楷體" w:cs="Arial" w:hint="eastAsia"/>
                <w:color w:val="0F0F0F"/>
                <w:kern w:val="0"/>
                <w:sz w:val="28"/>
                <w:szCs w:val="28"/>
              </w:rPr>
              <w:t xml:space="preserve"> </w:t>
            </w:r>
            <w:proofErr w:type="spellStart"/>
            <w:r w:rsidR="00314D79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put-lo̍k</w:t>
            </w:r>
            <w:proofErr w:type="spellEnd"/>
            <w:r w:rsidR="00314D79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 </w:t>
            </w:r>
            <w:proofErr w:type="spellStart"/>
            <w:r w:rsidR="00D02C00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ho̍k-hô-</w:t>
            </w:r>
            <w:proofErr w:type="gramStart"/>
            <w:r w:rsidR="00D02C00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>jû</w:t>
            </w:r>
            <w:proofErr w:type="spellEnd"/>
            <w:r w:rsidR="00D02C00" w:rsidRPr="00FB6712">
              <w:rPr>
                <w:rFonts w:eastAsia="台灣楷體" w:cs="Arial"/>
                <w:color w:val="0F0F0F"/>
                <w:kern w:val="0"/>
                <w:sz w:val="28"/>
                <w:szCs w:val="28"/>
              </w:rPr>
              <w:t xml:space="preserve"> ?</w:t>
            </w:r>
            <w:proofErr w:type="gramEnd"/>
          </w:p>
          <w:p w:rsidR="00FB6712" w:rsidRDefault="00FB6712" w:rsidP="00314D79">
            <w:pPr>
              <w:widowControl/>
              <w:spacing w:line="420" w:lineRule="atLeast"/>
              <w:ind w:rightChars="177" w:right="425"/>
              <w:jc w:val="right"/>
              <w:rPr>
                <w:rFonts w:ascii="台灣楷體" w:eastAsia="台灣楷體" w:hAnsi="台灣楷體" w:cs="Arial"/>
                <w:color w:val="0F0F0F"/>
                <w:kern w:val="0"/>
                <w:sz w:val="28"/>
                <w:szCs w:val="28"/>
              </w:rPr>
            </w:pPr>
          </w:p>
          <w:p w:rsidR="00FB6712" w:rsidRDefault="00FB6712" w:rsidP="00314D79">
            <w:pPr>
              <w:widowControl/>
              <w:spacing w:line="420" w:lineRule="atLeast"/>
              <w:ind w:rightChars="177" w:right="425"/>
              <w:jc w:val="right"/>
              <w:rPr>
                <w:rFonts w:ascii="台灣楷體" w:eastAsia="台灣楷體" w:hAnsi="台灣楷體" w:cs="Arial"/>
                <w:color w:val="0F0F0F"/>
                <w:kern w:val="0"/>
                <w:sz w:val="28"/>
                <w:szCs w:val="28"/>
              </w:rPr>
            </w:pPr>
          </w:p>
          <w:p w:rsidR="00314D79" w:rsidRPr="00AA6232" w:rsidRDefault="00314D79" w:rsidP="00314D79">
            <w:pPr>
              <w:widowControl/>
              <w:spacing w:line="420" w:lineRule="atLeast"/>
              <w:ind w:rightChars="177" w:right="425"/>
              <w:jc w:val="right"/>
              <w:rPr>
                <w:rFonts w:ascii="台灣楷體" w:eastAsia="台灣楷體" w:hAnsi="台灣楷體" w:cs="Arial"/>
                <w:color w:val="0F0F0F"/>
                <w:kern w:val="0"/>
                <w:sz w:val="28"/>
                <w:szCs w:val="28"/>
              </w:rPr>
            </w:pPr>
            <w:r>
              <w:rPr>
                <w:rFonts w:ascii="台灣楷體" w:eastAsia="台灣楷體" w:hAnsi="台灣楷體" w:cs="Arial" w:hint="eastAsia"/>
                <w:color w:val="0F0F0F"/>
                <w:kern w:val="0"/>
                <w:sz w:val="28"/>
                <w:szCs w:val="28"/>
              </w:rPr>
              <w:t>閩南語拼音：黃靜惠</w:t>
            </w:r>
          </w:p>
          <w:p w:rsidR="00FB6712" w:rsidRDefault="00FB6712" w:rsidP="00896BF4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E55A62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lastRenderedPageBreak/>
              <w:t>Reading</w:t>
            </w:r>
            <w:r w:rsidRPr="00E55A62"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E55A62">
              <w:rPr>
                <w:rFonts w:ascii="Times New Roman" w:eastAsia="新細明體" w:hAnsi="Times New Roman" w:cs="Times New Roman"/>
                <w:b/>
                <w:bCs/>
                <w:i/>
                <w:iCs/>
                <w:kern w:val="0"/>
                <w:sz w:val="36"/>
                <w:szCs w:val="36"/>
              </w:rPr>
              <w:t>the Book of Mountains and Seas</w:t>
            </w:r>
            <w:r w:rsidR="00FB6712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  </w:t>
            </w: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Tao </w:t>
            </w:r>
            <w:proofErr w:type="spellStart"/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Yuanming</w:t>
            </w:r>
            <w:proofErr w:type="spellEnd"/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96BF4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James Robert Hightower</w:t>
            </w:r>
            <w:r w:rsidRPr="00C36DAA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8"/>
                <w:szCs w:val="28"/>
              </w:rPr>
              <w:t>譯</w:t>
            </w:r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In early summer, grass and trees grow tall,</w:t>
            </w:r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With profuse foliage sheltering the hall.</w:t>
            </w:r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The flocks of birds have fondest place to rest</w:t>
            </w:r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While I love my </w:t>
            </w:r>
            <w:proofErr w:type="spellStart"/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cosy</w:t>
            </w:r>
            <w:proofErr w:type="spellEnd"/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house the best.</w:t>
            </w:r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When I have ploughed the field and sown the seed,</w:t>
            </w:r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I, now and then, find time to write and read.</w:t>
            </w:r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There are no deep </w:t>
            </w:r>
            <w:proofErr w:type="spellStart"/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ruts</w:t>
            </w:r>
            <w:proofErr w:type="spellEnd"/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in the humble lane,</w:t>
            </w:r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Where carriages will turn away with disdain.</w:t>
            </w:r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Alone I taste the new spring wine in leisure</w:t>
            </w:r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And pluck my garden vegetable with pleasure.</w:t>
            </w:r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When gentle showers from the east draw near,</w:t>
            </w:r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Now a pleasant breeze approaches here.</w:t>
            </w:r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On</w:t>
            </w:r>
            <w:r w:rsidR="0029045A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such occasions, I leaf through</w:t>
            </w:r>
            <w:r w:rsidR="0029045A"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29045A">
              <w:rPr>
                <w:rFonts w:ascii="Times New Roman" w:eastAsia="新細明體" w:hAnsi="Times New Roman" w:cs="Times New Roman"/>
                <w:b/>
                <w:i/>
                <w:iCs/>
                <w:kern w:val="0"/>
                <w:sz w:val="28"/>
                <w:szCs w:val="28"/>
              </w:rPr>
              <w:t>King of Zhou</w:t>
            </w: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,</w:t>
            </w:r>
          </w:p>
          <w:p w:rsidR="00896BF4" w:rsidRPr="00896BF4" w:rsidRDefault="0029045A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And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896BF4" w:rsidRPr="0029045A">
              <w:rPr>
                <w:rFonts w:ascii="Times New Roman" w:eastAsia="新細明體" w:hAnsi="Times New Roman" w:cs="Times New Roman"/>
                <w:b/>
                <w:i/>
                <w:iCs/>
                <w:kern w:val="0"/>
                <w:sz w:val="28"/>
                <w:szCs w:val="28"/>
              </w:rPr>
              <w:t>Maps of Hills and Seas</w:t>
            </w:r>
            <w:r>
              <w:rPr>
                <w:rFonts w:ascii="Times New Roman" w:eastAsia="新細明體" w:hAnsi="Times New Roman" w:cs="Times New Roman" w:hint="eastAsia"/>
                <w:i/>
                <w:iCs/>
                <w:kern w:val="0"/>
                <w:sz w:val="28"/>
                <w:szCs w:val="28"/>
              </w:rPr>
              <w:t xml:space="preserve"> </w:t>
            </w:r>
            <w:r w:rsidR="00896BF4"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of long ago.</w:t>
            </w:r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Since I can tour the whole world at a glance,</w:t>
            </w:r>
          </w:p>
          <w:p w:rsidR="00896BF4" w:rsidRPr="00896BF4" w:rsidRDefault="00896BF4" w:rsidP="00896BF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96BF4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What can be better pastime than this chance?</w:t>
            </w:r>
          </w:p>
        </w:tc>
      </w:tr>
    </w:tbl>
    <w:p w:rsidR="00A04258" w:rsidRPr="00896BF4" w:rsidRDefault="00A04258">
      <w:pPr>
        <w:rPr>
          <w:sz w:val="28"/>
          <w:szCs w:val="28"/>
        </w:rPr>
      </w:pPr>
    </w:p>
    <w:p w:rsidR="00896BF4" w:rsidRPr="00896BF4" w:rsidRDefault="00896BF4">
      <w:pPr>
        <w:rPr>
          <w:sz w:val="28"/>
          <w:szCs w:val="28"/>
        </w:rPr>
      </w:pPr>
    </w:p>
    <w:sectPr w:rsidR="00896BF4" w:rsidRPr="00896B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F4"/>
    <w:rsid w:val="000468FD"/>
    <w:rsid w:val="000F00E7"/>
    <w:rsid w:val="001122C2"/>
    <w:rsid w:val="001C72EB"/>
    <w:rsid w:val="0029045A"/>
    <w:rsid w:val="00314D79"/>
    <w:rsid w:val="003F7555"/>
    <w:rsid w:val="007612C4"/>
    <w:rsid w:val="007E4400"/>
    <w:rsid w:val="00855F35"/>
    <w:rsid w:val="00896BF4"/>
    <w:rsid w:val="00935913"/>
    <w:rsid w:val="00A02A79"/>
    <w:rsid w:val="00A04258"/>
    <w:rsid w:val="00AA6232"/>
    <w:rsid w:val="00B8659A"/>
    <w:rsid w:val="00C36DAA"/>
    <w:rsid w:val="00C57077"/>
    <w:rsid w:val="00D02C00"/>
    <w:rsid w:val="00E55A62"/>
    <w:rsid w:val="00E576BB"/>
    <w:rsid w:val="00F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C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22C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2C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22C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122C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122C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122C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1122C2"/>
    <w:pPr>
      <w:ind w:leftChars="200" w:left="480"/>
    </w:pPr>
  </w:style>
  <w:style w:type="paragraph" w:customStyle="1" w:styleId="xg1">
    <w:name w:val="xg1"/>
    <w:basedOn w:val="a"/>
    <w:rsid w:val="00896B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ipe">
    <w:name w:val="pipe"/>
    <w:basedOn w:val="a0"/>
    <w:rsid w:val="00896BF4"/>
  </w:style>
  <w:style w:type="character" w:styleId="a4">
    <w:name w:val="Hyperlink"/>
    <w:basedOn w:val="a0"/>
    <w:uiPriority w:val="99"/>
    <w:semiHidden/>
    <w:unhideWhenUsed/>
    <w:rsid w:val="00896BF4"/>
    <w:rPr>
      <w:color w:val="0000FF"/>
      <w:u w:val="single"/>
    </w:rPr>
  </w:style>
  <w:style w:type="character" w:styleId="a5">
    <w:name w:val="Emphasis"/>
    <w:basedOn w:val="a0"/>
    <w:uiPriority w:val="20"/>
    <w:qFormat/>
    <w:rsid w:val="00896BF4"/>
    <w:rPr>
      <w:i/>
      <w:iCs/>
    </w:rPr>
  </w:style>
  <w:style w:type="character" w:styleId="a6">
    <w:name w:val="Strong"/>
    <w:basedOn w:val="a0"/>
    <w:uiPriority w:val="22"/>
    <w:qFormat/>
    <w:rsid w:val="00896BF4"/>
    <w:rPr>
      <w:b/>
      <w:bCs/>
    </w:rPr>
  </w:style>
  <w:style w:type="character" w:customStyle="1" w:styleId="pinyin">
    <w:name w:val="pinyin"/>
    <w:basedOn w:val="a0"/>
    <w:rsid w:val="00896BF4"/>
  </w:style>
  <w:style w:type="paragraph" w:customStyle="1" w:styleId="sub">
    <w:name w:val="sub"/>
    <w:basedOn w:val="a"/>
    <w:rsid w:val="00896B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C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22C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2C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22C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122C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122C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122C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1122C2"/>
    <w:pPr>
      <w:ind w:leftChars="200" w:left="480"/>
    </w:pPr>
  </w:style>
  <w:style w:type="paragraph" w:customStyle="1" w:styleId="xg1">
    <w:name w:val="xg1"/>
    <w:basedOn w:val="a"/>
    <w:rsid w:val="00896B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ipe">
    <w:name w:val="pipe"/>
    <w:basedOn w:val="a0"/>
    <w:rsid w:val="00896BF4"/>
  </w:style>
  <w:style w:type="character" w:styleId="a4">
    <w:name w:val="Hyperlink"/>
    <w:basedOn w:val="a0"/>
    <w:uiPriority w:val="99"/>
    <w:semiHidden/>
    <w:unhideWhenUsed/>
    <w:rsid w:val="00896BF4"/>
    <w:rPr>
      <w:color w:val="0000FF"/>
      <w:u w:val="single"/>
    </w:rPr>
  </w:style>
  <w:style w:type="character" w:styleId="a5">
    <w:name w:val="Emphasis"/>
    <w:basedOn w:val="a0"/>
    <w:uiPriority w:val="20"/>
    <w:qFormat/>
    <w:rsid w:val="00896BF4"/>
    <w:rPr>
      <w:i/>
      <w:iCs/>
    </w:rPr>
  </w:style>
  <w:style w:type="character" w:styleId="a6">
    <w:name w:val="Strong"/>
    <w:basedOn w:val="a0"/>
    <w:uiPriority w:val="22"/>
    <w:qFormat/>
    <w:rsid w:val="00896BF4"/>
    <w:rPr>
      <w:b/>
      <w:bCs/>
    </w:rPr>
  </w:style>
  <w:style w:type="character" w:customStyle="1" w:styleId="pinyin">
    <w:name w:val="pinyin"/>
    <w:basedOn w:val="a0"/>
    <w:rsid w:val="00896BF4"/>
  </w:style>
  <w:style w:type="paragraph" w:customStyle="1" w:styleId="sub">
    <w:name w:val="sub"/>
    <w:basedOn w:val="a"/>
    <w:rsid w:val="00896B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610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183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nti.dugushici.com/ancient_authors/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16</cp:revision>
  <dcterms:created xsi:type="dcterms:W3CDTF">2021-02-07T04:34:00Z</dcterms:created>
  <dcterms:modified xsi:type="dcterms:W3CDTF">2021-02-08T02:27:00Z</dcterms:modified>
</cp:coreProperties>
</file>