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3F9CE4A9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962C21">
        <w:rPr>
          <w:rFonts w:ascii="標楷體" w:eastAsia="標楷體" w:hAnsi="標楷體" w:hint="eastAsia"/>
          <w:sz w:val="28"/>
          <w:szCs w:val="28"/>
        </w:rPr>
        <w:t xml:space="preserve"> 王勲建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44366C28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C24E48">
              <w:rPr>
                <w:rFonts w:ascii="標楷體" w:eastAsia="標楷體" w:hAnsi="標楷體" w:hint="eastAsia"/>
                <w:szCs w:val="24"/>
              </w:rPr>
              <w:t>1上</w:t>
            </w:r>
            <w:r w:rsidR="00962C21">
              <w:rPr>
                <w:rFonts w:ascii="標楷體" w:eastAsia="標楷體" w:hAnsi="標楷體" w:hint="eastAsia"/>
                <w:szCs w:val="24"/>
              </w:rPr>
              <w:t>體育第7單元：大小球真好玩</w:t>
            </w:r>
          </w:p>
          <w:p w14:paraId="5ED3394C" w14:textId="29056308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962C21">
              <w:rPr>
                <w:rFonts w:ascii="標楷體" w:eastAsia="標楷體" w:hAnsi="標楷體" w:hint="eastAsia"/>
                <w:szCs w:val="24"/>
              </w:rPr>
              <w:t>共</w:t>
            </w:r>
            <w:r w:rsidR="00FD5C03">
              <w:rPr>
                <w:rFonts w:ascii="標楷體" w:eastAsia="標楷體" w:hAnsi="標楷體" w:hint="eastAsia"/>
                <w:szCs w:val="24"/>
              </w:rPr>
              <w:t>3節</w:t>
            </w:r>
            <w:r w:rsidR="00C24E48">
              <w:rPr>
                <w:rFonts w:ascii="標楷體" w:eastAsia="標楷體" w:hAnsi="標楷體" w:hint="eastAsia"/>
                <w:szCs w:val="24"/>
              </w:rPr>
              <w:t>，第3節</w:t>
            </w:r>
          </w:p>
          <w:p w14:paraId="3C76FCD8" w14:textId="3296F1CE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C24E48">
              <w:rPr>
                <w:rFonts w:ascii="標楷體" w:eastAsia="標楷體" w:hAnsi="標楷體" w:hint="eastAsia"/>
                <w:szCs w:val="24"/>
              </w:rPr>
              <w:t>：翰林出版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5F508B8F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45BE42CE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2F15AC28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6D7A53C5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08EC9339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76D89F7C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415DEB12" w:rsidR="00625FA0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4B0FE023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24241B0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3B168D4F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6B37ED6F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5B9C9E14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C84B98">
        <w:trPr>
          <w:trHeight w:val="10137"/>
        </w:trPr>
        <w:tc>
          <w:tcPr>
            <w:tcW w:w="7514" w:type="dxa"/>
          </w:tcPr>
          <w:p w14:paraId="128CD9BD" w14:textId="5D10CDF7" w:rsidR="00EE1799" w:rsidRDefault="00C24E48" w:rsidP="00C24E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教學目標：小朋友們能適度地控制自己的身體力量，正確地</w:t>
            </w:r>
          </w:p>
          <w:p w14:paraId="1C17B624" w14:textId="77777777" w:rsidR="00B21BB3" w:rsidRDefault="00C24E48" w:rsidP="00C24E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完成傳、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B21BB3">
              <w:rPr>
                <w:rFonts w:ascii="標楷體" w:eastAsia="標楷體" w:hAnsi="標楷體" w:hint="eastAsia"/>
                <w:sz w:val="28"/>
                <w:szCs w:val="28"/>
              </w:rPr>
              <w:t>、滾、踢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>球動作，並能配合動作自然</w:t>
            </w:r>
          </w:p>
          <w:p w14:paraId="04779614" w14:textId="01868F2E" w:rsidR="00EE1799" w:rsidRDefault="00B21BB3" w:rsidP="00C24E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>以英語說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Throw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>Catch</w:t>
            </w:r>
            <w:r>
              <w:rPr>
                <w:rFonts w:ascii="標楷體" w:eastAsia="標楷體" w:hAnsi="標楷體"/>
                <w:sz w:val="28"/>
                <w:szCs w:val="28"/>
              </w:rPr>
              <w:t>/Roll/Kick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 xml:space="preserve"> the </w:t>
            </w:r>
            <w:r w:rsidR="00861B19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="00861B19">
              <w:rPr>
                <w:rFonts w:ascii="標楷體" w:eastAsia="標楷體" w:hAnsi="標楷體" w:hint="eastAsia"/>
                <w:sz w:val="28"/>
                <w:szCs w:val="28"/>
              </w:rPr>
              <w:t>all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14:paraId="0644B86F" w14:textId="1B3F4B45" w:rsidR="00861B19" w:rsidRDefault="00861B19" w:rsidP="00C24E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教學步驟：</w:t>
            </w:r>
          </w:p>
          <w:p w14:paraId="7B6169E1" w14:textId="197C254F" w:rsidR="00EE1799" w:rsidRDefault="00861B19" w:rsidP="00861B1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老師將</w:t>
            </w:r>
            <w:r w:rsidR="00E930D8">
              <w:rPr>
                <w:rFonts w:ascii="標楷體" w:eastAsia="標楷體" w:hAnsi="標楷體" w:hint="eastAsia"/>
                <w:sz w:val="28"/>
                <w:szCs w:val="28"/>
              </w:rPr>
              <w:t>小朋友們分成男女(Boys &amp; Girls)二組</w:t>
            </w:r>
            <w:r w:rsidR="00B21BB3">
              <w:rPr>
                <w:rFonts w:ascii="標楷體" w:eastAsia="標楷體" w:hAnsi="標楷體" w:hint="eastAsia"/>
                <w:sz w:val="28"/>
                <w:szCs w:val="28"/>
              </w:rPr>
              <w:t>對排</w:t>
            </w:r>
            <w:r w:rsidR="00E930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5A8418" w14:textId="04D7002B" w:rsidR="00E930D8" w:rsidRDefault="00E930D8" w:rsidP="00861B1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老師說明遊戲規則：</w:t>
            </w:r>
          </w:p>
          <w:p w14:paraId="256CD478" w14:textId="77777777" w:rsidR="00EE1799" w:rsidRDefault="00C84B98" w:rsidP="00602CE3">
            <w:pPr>
              <w:pStyle w:val="a4"/>
              <w:numPr>
                <w:ilvl w:val="1"/>
                <w:numId w:val="4"/>
              </w:numPr>
              <w:ind w:leftChars="0" w:left="10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由手持球的開始說出自己的中英文並</w:t>
            </w:r>
            <w:r w:rsidR="00602C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="002E09D7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何種方式</w:t>
            </w:r>
            <w:r w:rsidR="002E09D7">
              <w:rPr>
                <w:rFonts w:ascii="標楷體" w:eastAsia="標楷體" w:hAnsi="標楷體" w:hint="eastAsia"/>
                <w:sz w:val="28"/>
                <w:szCs w:val="28"/>
              </w:rPr>
              <w:t>(傳、滾、踢)</w:t>
            </w:r>
            <w:r w:rsidR="002E09D7">
              <w:rPr>
                <w:rFonts w:ascii="標楷體" w:eastAsia="標楷體" w:hAnsi="標楷體" w:hint="eastAsia"/>
                <w:sz w:val="28"/>
                <w:szCs w:val="28"/>
              </w:rPr>
              <w:t>發球須以中英文說出後再將球發出給對排的另一位小朋友，而接到球的小朋友須說出接球的中英文後同樣</w:t>
            </w:r>
            <w:r w:rsidR="00602CE3">
              <w:rPr>
                <w:rFonts w:ascii="標楷體" w:eastAsia="標楷體" w:hAnsi="標楷體" w:hint="eastAsia"/>
                <w:sz w:val="28"/>
                <w:szCs w:val="28"/>
              </w:rPr>
              <w:t>再選擇一種方式發球給下一位小朋友</w:t>
            </w:r>
            <w:r w:rsidR="002E09D7">
              <w:rPr>
                <w:rFonts w:ascii="標楷體" w:eastAsia="標楷體" w:hAnsi="標楷體" w:hint="eastAsia"/>
                <w:sz w:val="28"/>
                <w:szCs w:val="28"/>
              </w:rPr>
              <w:t>，以此類推</w:t>
            </w:r>
            <w:r w:rsidR="00602C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E213F9C" w14:textId="28F71C3E" w:rsidR="00602CE3" w:rsidRDefault="00602CE3" w:rsidP="00602CE3">
            <w:pPr>
              <w:pStyle w:val="a4"/>
              <w:numPr>
                <w:ilvl w:val="1"/>
                <w:numId w:val="4"/>
              </w:numPr>
              <w:ind w:leftChars="0" w:left="10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熟悉規則後可變化發球的方向(由左→右或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右→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左)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並流利地以英語表達發球</w:t>
            </w:r>
            <w:r w:rsidR="00061A3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接球的動作。</w:t>
            </w:r>
          </w:p>
          <w:p w14:paraId="295BC244" w14:textId="3DFDEAAC" w:rsidR="00602CE3" w:rsidRDefault="00061A39" w:rsidP="00602CE3">
            <w:pPr>
              <w:pStyle w:val="a4"/>
              <w:numPr>
                <w:ilvl w:val="1"/>
                <w:numId w:val="4"/>
              </w:numPr>
              <w:ind w:leftChars="0" w:left="10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小朋友藉此遊戲學習英語並</w:t>
            </w:r>
            <w:r w:rsidR="002A7CBD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融入日常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活動中。</w:t>
            </w:r>
          </w:p>
        </w:tc>
        <w:tc>
          <w:tcPr>
            <w:tcW w:w="1417" w:type="dxa"/>
          </w:tcPr>
          <w:p w14:paraId="40387110" w14:textId="5B32DF37" w:rsidR="00EE1799" w:rsidRPr="00061A39" w:rsidRDefault="006838E1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276" w:type="dxa"/>
          </w:tcPr>
          <w:p w14:paraId="7ACFCF68" w14:textId="77777777" w:rsidR="00EE1799" w:rsidRDefault="00061A3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52A21E63" w14:textId="77777777" w:rsidR="00061A39" w:rsidRDefault="00061A3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26DDA7FF" w14:textId="77777777" w:rsidR="00061A39" w:rsidRDefault="00061A3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50563BCB" w14:textId="2082AA78" w:rsidR="00061A39" w:rsidRDefault="00061A39" w:rsidP="002956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EAED" w14:textId="77777777" w:rsidR="00036D31" w:rsidRDefault="00036D31" w:rsidP="00B21BB3">
      <w:r>
        <w:separator/>
      </w:r>
    </w:p>
  </w:endnote>
  <w:endnote w:type="continuationSeparator" w:id="0">
    <w:p w14:paraId="1A284EE9" w14:textId="77777777" w:rsidR="00036D31" w:rsidRDefault="00036D31" w:rsidP="00B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D9195" w14:textId="77777777" w:rsidR="00036D31" w:rsidRDefault="00036D31" w:rsidP="00B21BB3">
      <w:r>
        <w:separator/>
      </w:r>
    </w:p>
  </w:footnote>
  <w:footnote w:type="continuationSeparator" w:id="0">
    <w:p w14:paraId="7E9165A2" w14:textId="77777777" w:rsidR="00036D31" w:rsidRDefault="00036D31" w:rsidP="00B2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2831C7"/>
    <w:multiLevelType w:val="hybridMultilevel"/>
    <w:tmpl w:val="C56C57E8"/>
    <w:lvl w:ilvl="0" w:tplc="063CA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9EC8E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036D31"/>
    <w:rsid w:val="00061A39"/>
    <w:rsid w:val="001C603D"/>
    <w:rsid w:val="00291902"/>
    <w:rsid w:val="002956E1"/>
    <w:rsid w:val="002A7CBD"/>
    <w:rsid w:val="002E09D7"/>
    <w:rsid w:val="004C122A"/>
    <w:rsid w:val="004D52BD"/>
    <w:rsid w:val="00501AE6"/>
    <w:rsid w:val="00602CE3"/>
    <w:rsid w:val="00607045"/>
    <w:rsid w:val="00625FA0"/>
    <w:rsid w:val="00675173"/>
    <w:rsid w:val="006838E1"/>
    <w:rsid w:val="006B0452"/>
    <w:rsid w:val="007D3D78"/>
    <w:rsid w:val="00861B19"/>
    <w:rsid w:val="00962C21"/>
    <w:rsid w:val="00A53A29"/>
    <w:rsid w:val="00B21BB3"/>
    <w:rsid w:val="00C24E48"/>
    <w:rsid w:val="00C84B98"/>
    <w:rsid w:val="00D13CD6"/>
    <w:rsid w:val="00E930D8"/>
    <w:rsid w:val="00EE1799"/>
    <w:rsid w:val="00F41B0A"/>
    <w:rsid w:val="00FD5C03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B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B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2021-10-08T06:53:00Z</dcterms:created>
  <dcterms:modified xsi:type="dcterms:W3CDTF">2021-10-08T07:08:00Z</dcterms:modified>
</cp:coreProperties>
</file>